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D7" w:rsidRPr="0066225E" w:rsidRDefault="00A65C40" w:rsidP="0066225E">
      <w:pPr>
        <w:spacing w:after="0" w:line="240" w:lineRule="auto"/>
        <w:jc w:val="center"/>
        <w:rPr>
          <w:b/>
          <w:lang w:val="ky-KG"/>
        </w:rPr>
      </w:pPr>
      <w:r>
        <w:rPr>
          <w:b/>
          <w:lang w:val="ky-KG"/>
        </w:rPr>
        <w:t>Тема 5.</w:t>
      </w:r>
      <w:bookmarkStart w:id="0" w:name="_GoBack"/>
      <w:bookmarkEnd w:id="0"/>
      <w:r w:rsidR="0066225E" w:rsidRPr="0066225E">
        <w:rPr>
          <w:b/>
        </w:rPr>
        <w:t>Оценка зарубежных подразделений</w:t>
      </w:r>
    </w:p>
    <w:p w:rsidR="0066225E" w:rsidRPr="0066225E" w:rsidRDefault="0066225E" w:rsidP="0066225E">
      <w:pPr>
        <w:spacing w:after="0" w:line="240" w:lineRule="auto"/>
        <w:jc w:val="both"/>
        <w:rPr>
          <w:lang w:val="ky-KG"/>
        </w:rPr>
      </w:pP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>К оценке зарубежных подразделений многонациональных компаний приложимы те же самые базовые методы и принципы, что и к оценке</w:t>
      </w:r>
      <w:r>
        <w:rPr>
          <w:lang w:val="ky-KG"/>
        </w:rPr>
        <w:t xml:space="preserve"> </w:t>
      </w:r>
      <w:proofErr w:type="gramStart"/>
      <w:r w:rsidRPr="0066225E">
        <w:t>бизнес-единиц</w:t>
      </w:r>
      <w:proofErr w:type="gramEnd"/>
      <w:r w:rsidRPr="0066225E">
        <w:t xml:space="preserve"> компаний, работающих внутри страны. Вместе с тем здесь</w:t>
      </w:r>
      <w:r>
        <w:rPr>
          <w:lang w:val="ky-KG"/>
        </w:rPr>
        <w:t xml:space="preserve"> </w:t>
      </w:r>
      <w:r w:rsidRPr="0066225E">
        <w:t>нужно отметить несколько новых черт:</w:t>
      </w:r>
    </w:p>
    <w:p w:rsidR="0066225E" w:rsidRPr="0066225E" w:rsidRDefault="0066225E" w:rsidP="0066225E">
      <w:pPr>
        <w:pStyle w:val="a6"/>
        <w:numPr>
          <w:ilvl w:val="0"/>
          <w:numId w:val="3"/>
        </w:numPr>
        <w:spacing w:after="0" w:line="240" w:lineRule="auto"/>
        <w:jc w:val="both"/>
      </w:pPr>
      <w:r w:rsidRPr="0066225E">
        <w:t>перевод денежных потоков из одной валюты в другую;</w:t>
      </w:r>
    </w:p>
    <w:p w:rsidR="0066225E" w:rsidRPr="0066225E" w:rsidRDefault="0066225E" w:rsidP="0066225E">
      <w:pPr>
        <w:pStyle w:val="a6"/>
        <w:numPr>
          <w:ilvl w:val="0"/>
          <w:numId w:val="3"/>
        </w:numPr>
        <w:spacing w:after="0" w:line="240" w:lineRule="auto"/>
        <w:jc w:val="both"/>
      </w:pPr>
      <w:proofErr w:type="spellStart"/>
      <w:r w:rsidRPr="0066225E">
        <w:t>межстрановые</w:t>
      </w:r>
      <w:proofErr w:type="spellEnd"/>
      <w:r w:rsidRPr="0066225E">
        <w:t xml:space="preserve"> различия в регулировании налогообложения и бухгалтерского учета;</w:t>
      </w:r>
    </w:p>
    <w:p w:rsidR="0066225E" w:rsidRPr="0066225E" w:rsidRDefault="0066225E" w:rsidP="0066225E">
      <w:pPr>
        <w:pStyle w:val="a6"/>
        <w:numPr>
          <w:ilvl w:val="0"/>
          <w:numId w:val="3"/>
        </w:numPr>
        <w:spacing w:after="0" w:line="240" w:lineRule="auto"/>
        <w:jc w:val="both"/>
      </w:pPr>
      <w:r w:rsidRPr="0066225E">
        <w:t>взаимосвязь между трансфертным ценообразованием и зарубежными налогами;</w:t>
      </w:r>
    </w:p>
    <w:p w:rsidR="0066225E" w:rsidRPr="0066225E" w:rsidRDefault="0066225E" w:rsidP="0066225E">
      <w:pPr>
        <w:pStyle w:val="a6"/>
        <w:numPr>
          <w:ilvl w:val="0"/>
          <w:numId w:val="3"/>
        </w:numPr>
        <w:spacing w:after="0" w:line="240" w:lineRule="auto"/>
        <w:jc w:val="both"/>
      </w:pPr>
      <w:r w:rsidRPr="0066225E">
        <w:t>определение соответствующих затрат на капитал;</w:t>
      </w:r>
    </w:p>
    <w:p w:rsidR="0066225E" w:rsidRPr="0066225E" w:rsidRDefault="0066225E" w:rsidP="0066225E">
      <w:pPr>
        <w:pStyle w:val="a6"/>
        <w:numPr>
          <w:ilvl w:val="0"/>
          <w:numId w:val="3"/>
        </w:numPr>
        <w:spacing w:after="0" w:line="240" w:lineRule="auto"/>
        <w:jc w:val="both"/>
      </w:pPr>
      <w:r w:rsidRPr="0066225E">
        <w:t>воздействие хеджирования валютных курсов на стоимость;</w:t>
      </w:r>
    </w:p>
    <w:p w:rsidR="0066225E" w:rsidRPr="0066225E" w:rsidRDefault="0066225E" w:rsidP="0066225E">
      <w:pPr>
        <w:pStyle w:val="a6"/>
        <w:numPr>
          <w:ilvl w:val="0"/>
          <w:numId w:val="3"/>
        </w:numPr>
        <w:spacing w:after="0" w:line="240" w:lineRule="auto"/>
        <w:jc w:val="both"/>
      </w:pPr>
      <w:r w:rsidRPr="0066225E">
        <w:t>учет политических рисков.</w:t>
      </w:r>
    </w:p>
    <w:p w:rsidR="0066225E" w:rsidRDefault="0066225E" w:rsidP="0066225E">
      <w:pPr>
        <w:spacing w:after="0" w:line="240" w:lineRule="auto"/>
        <w:jc w:val="both"/>
        <w:rPr>
          <w:lang w:val="ky-KG"/>
        </w:rPr>
      </w:pPr>
      <w:r w:rsidRPr="0066225E">
        <w:t>На рисунке 17.1 изображены денежные потоки условной материн</w:t>
      </w:r>
      <w:r w:rsidRPr="0066225E">
        <w:softHyphen/>
        <w:t>ской компании, базирующейся в Сое</w:t>
      </w:r>
      <w:r>
        <w:t xml:space="preserve">диненных Штатах и имеющей </w:t>
      </w:r>
      <w:proofErr w:type="gramStart"/>
      <w:r>
        <w:t>в</w:t>
      </w:r>
      <w:proofErr w:type="gramEnd"/>
      <w:r>
        <w:t xml:space="preserve"> сво</w:t>
      </w:r>
      <w:r>
        <w:t>ей</w:t>
      </w:r>
      <w:r>
        <w:rPr>
          <w:lang w:val="ky-KG"/>
        </w:rPr>
        <w:t xml:space="preserve"> </w:t>
      </w:r>
    </w:p>
    <w:p w:rsidR="0066225E" w:rsidRPr="0066225E" w:rsidRDefault="0066225E" w:rsidP="0066225E">
      <w:pPr>
        <w:spacing w:after="0" w:line="240" w:lineRule="auto"/>
        <w:jc w:val="both"/>
        <w:rPr>
          <w:lang w:val="ky-KG"/>
        </w:rPr>
      </w:pPr>
    </w:p>
    <w:p w:rsidR="0066225E" w:rsidRPr="0066225E" w:rsidRDefault="0066225E" w:rsidP="0066225E">
      <w:pPr>
        <w:spacing w:after="0" w:line="240" w:lineRule="auto"/>
        <w:jc w:val="both"/>
      </w:pPr>
      <w:r w:rsidRPr="0066225E">
        <w:drawing>
          <wp:inline distT="0" distB="0" distL="0" distR="0" wp14:anchorId="687B618D" wp14:editId="605A4985">
            <wp:extent cx="4524375" cy="2019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Рисунок 17.1.   Схема денежных потоков: зарубежное подразделение компании США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полной собственности зарубежное подразделение, расположенное в Великобритании, которое получает доходы из Франции (равно как и из Англии), платит за сырье, поступающее из Дании (в дополнение к расхо</w:t>
      </w:r>
      <w:r w:rsidRPr="0066225E">
        <w:softHyphen/>
        <w:t>дам на рабочую силу и сырье непосредственно в Англии), и берет займы в Швейцарии (как, впрочем, и в Англии). Британское подразделение получает капитал и материалы от американской материнской компании и возвра</w:t>
      </w:r>
      <w:r w:rsidRPr="0066225E">
        <w:softHyphen/>
        <w:t>щает той денежный поток в форме дивидендов и лицензионных платежей. Налоги платят и материнская компания в США, и ее подразделение в Великобритании. Это достаточно содержательный пример, чтобы проил</w:t>
      </w:r>
      <w:r w:rsidRPr="0066225E">
        <w:softHyphen/>
        <w:t>люстрировать сложность оценки зарубежного подразделения, и мы будем обращаться к нему на протяжении всей главы. Возьмем за предпосылку, что оценка проводится изнутри материнской компании, то есть что мы имеем полный доступ к внутренней финансовой и плановой информации.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>В таблице 17.1 сведены в с е этапы процесса оценки зарубежного подраз</w:t>
      </w:r>
      <w:r w:rsidRPr="0066225E">
        <w:softHyphen/>
        <w:t>деления. Исходный пункт здесь — анализ результатов прошлой деятельно</w:t>
      </w:r>
      <w:r w:rsidRPr="0066225E">
        <w:softHyphen/>
        <w:t>сти подразделения. Затем следует прогнозирование свободного денежного потока в валюте зарубежного подразделения. В нашем примере мы про</w:t>
      </w:r>
      <w:r w:rsidRPr="0066225E">
        <w:softHyphen/>
        <w:t>гнозируем английские доходы в фунтах стерлингов, а французские дохо</w:t>
      </w:r>
      <w:r w:rsidRPr="0066225E">
        <w:softHyphen/>
        <w:t xml:space="preserve">ды — в евро. Далее мы переводим </w:t>
      </w:r>
      <w:proofErr w:type="spellStart"/>
      <w:r w:rsidRPr="0066225E">
        <w:t>нестерлинговый</w:t>
      </w:r>
      <w:proofErr w:type="spellEnd"/>
      <w:r w:rsidRPr="0066225E">
        <w:t xml:space="preserve"> денежный поток в фунты стерлингов по форвардному обменному курсу. Как только мы </w:t>
      </w:r>
      <w:r w:rsidRPr="0066225E">
        <w:lastRenderedPageBreak/>
        <w:t>перевели все ожидаемые денежные потоки в фунты стерлингов, следующим действием мы дисконтируем их по затратам на капитал британского подразделения, после чего переводим полученную приведенную стоимость в доллары (род-н у ю валюту материнской компании) по обменному курсу «спот»1.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>1 Равнозначный прием — принять за валюту британского подразделения доллары, то есть использовать долларовый денежный поток и долларовую же ставку дисконти</w:t>
      </w:r>
      <w:r w:rsidRPr="0066225E">
        <w:softHyphen/>
        <w:t>рования. Такой подход устраняет нужду в переводе стоимости британского подразде</w:t>
      </w:r>
      <w:r w:rsidRPr="0066225E">
        <w:softHyphen/>
        <w:t>ления из фунтов стерлингов в доллары (на последнем этапе).</w:t>
      </w:r>
    </w:p>
    <w:p w:rsidR="0066225E" w:rsidRPr="0066225E" w:rsidRDefault="0066225E" w:rsidP="0066225E">
      <w:pPr>
        <w:spacing w:after="0" w:line="240" w:lineRule="auto"/>
        <w:jc w:val="both"/>
      </w:pPr>
      <w:proofErr w:type="gramStart"/>
      <w:r w:rsidRPr="0066225E">
        <w:t>Прежде чем приступать к прогнозированию, вам нужно уразуметь, в к а к о м положении находится зарубежное по</w:t>
      </w:r>
      <w:r>
        <w:t>дразделение сегодня.</w:t>
      </w:r>
      <w:proofErr w:type="gramEnd"/>
      <w:r>
        <w:t xml:space="preserve"> </w:t>
      </w:r>
      <w:r w:rsidRPr="0066225E">
        <w:t>В настоящем разделе упор сделан на несколько специфических обстоятельств, которые необ</w:t>
      </w:r>
      <w:r w:rsidRPr="0066225E">
        <w:softHyphen/>
        <w:t>ходимо принимать в расчет, когда вы занимаетесь именно зарубежными подразделениями: перевод из валюты в валюту, международное налого</w:t>
      </w:r>
      <w:r w:rsidRPr="0066225E">
        <w:softHyphen/>
        <w:t>обложение и взаимосвязь трансфертного ценообразования с налогами. В следующей главе рассматриваются некоторые дополнительные пробле</w:t>
      </w:r>
      <w:r w:rsidRPr="0066225E">
        <w:softHyphen/>
        <w:t>мы, возникающие при анализе финансовых отчетов, которые составлены в разных странах.</w:t>
      </w:r>
    </w:p>
    <w:p w:rsidR="0066225E" w:rsidRPr="0066225E" w:rsidRDefault="0066225E" w:rsidP="0066225E">
      <w:pPr>
        <w:spacing w:after="0" w:line="240" w:lineRule="auto"/>
        <w:jc w:val="center"/>
        <w:rPr>
          <w:b/>
        </w:rPr>
      </w:pPr>
      <w:r w:rsidRPr="0066225E">
        <w:rPr>
          <w:b/>
        </w:rPr>
        <w:t>Перевод из валюты в валюту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>Во избежание возможных недоразумений, порожда</w:t>
      </w:r>
      <w:r>
        <w:t>емых переводом денеж</w:t>
      </w:r>
      <w:r w:rsidRPr="0066225E">
        <w:t>ных потоков из одной валюты в другую, в с е и</w:t>
      </w:r>
      <w:r>
        <w:t>змерения и расчеты при оцен</w:t>
      </w:r>
      <w:r w:rsidRPr="0066225E">
        <w:t xml:space="preserve">ке стоимости зарубежного подразделения лучше проводить в его родной валюте. Иногда финансовые отчеты зарубежного подразделения бывают изначально переведены в родную валюту материнской компании, согласно бухгалтерским стандартам С </w:t>
      </w:r>
      <w:proofErr w:type="gramStart"/>
      <w:r w:rsidRPr="0066225E">
        <w:t>Ш</w:t>
      </w:r>
      <w:proofErr w:type="gramEnd"/>
      <w:r w:rsidRPr="0066225E">
        <w:t xml:space="preserve"> А ; но и в таких случаях порой необходимо вновь пересчитать денежные потоки в иностранной валюте — опять же во избежание недоразумений.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Для того чтобы вникнуть в нынешнее состоя</w:t>
      </w:r>
      <w:r>
        <w:t>ние подразделения и, есл</w:t>
      </w:r>
      <w:r w:rsidRPr="0066225E">
        <w:t>и надо, преобразовать финансовые отчеты в</w:t>
      </w:r>
      <w:r>
        <w:t xml:space="preserve"> валюте С </w:t>
      </w:r>
      <w:proofErr w:type="gramStart"/>
      <w:r>
        <w:t>Ш</w:t>
      </w:r>
      <w:proofErr w:type="gramEnd"/>
      <w:r>
        <w:t xml:space="preserve"> А , в ы должны по</w:t>
      </w:r>
      <w:r w:rsidRPr="0066225E">
        <w:t>нимать, какими бухгалтерскими методами выведены показатели прошлой деятельности. В США учет операций, связанных с валютным переводом,</w:t>
      </w:r>
      <w:r>
        <w:rPr>
          <w:lang w:val="ky-KG"/>
        </w:rPr>
        <w:t xml:space="preserve"> </w:t>
      </w:r>
      <w:r w:rsidRPr="0066225E">
        <w:t xml:space="preserve">и соответствующая отчетность регламентируются постановлением № 52 У </w:t>
      </w:r>
      <w:proofErr w:type="gramStart"/>
      <w:r w:rsidRPr="0066225E">
        <w:t>п</w:t>
      </w:r>
      <w:proofErr w:type="gramEnd"/>
      <w:r w:rsidRPr="0066225E">
        <w:t xml:space="preserve"> р а в л е н и я стандартов финансового у ч е т а ( F A S B </w:t>
      </w:r>
      <w:proofErr w:type="spellStart"/>
      <w:r w:rsidRPr="0066225E">
        <w:t>Statement</w:t>
      </w:r>
      <w:proofErr w:type="spellEnd"/>
      <w:r w:rsidRPr="0066225E">
        <w:t xml:space="preserve"> № 52).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>Все сделки в любой другой валюте переводятся в родную валюту зару</w:t>
      </w:r>
      <w:r w:rsidRPr="0066225E">
        <w:softHyphen/>
        <w:t>бежного подразделения по обменному курсу на дату осуществления сдел</w:t>
      </w:r>
      <w:r w:rsidRPr="0066225E">
        <w:softHyphen/>
        <w:t>ки. Например, продажи британского подразделения, оплаченные в евро, учитываются этим подразделением в фунтах стерлингов по курсу на дату продажи. Точно так же и дебиторская задолженность по этим продажам учитывается в фунтах стерлингов с использованием того же курса. Когда бы ни составлялись финансовые отчеты британского подразделения, ак</w:t>
      </w:r>
      <w:r w:rsidRPr="0066225E">
        <w:softHyphen/>
        <w:t>тивы, подобные дебиторской задолженности в евро или остатку денежных средств в евро, представляются в них по курсу на дату составления баланса. Любые прибыли или убытки по таким активам (т. е. связанные с переводом из валюты в валюту) получают отражение в отчете о прибылях и убытках.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>Перевод финансовых отчетов зарубежного подразделения в родную ва</w:t>
      </w:r>
      <w:r w:rsidRPr="0066225E">
        <w:softHyphen/>
        <w:t>люту материнской компании — более замысловатое дело. Для стран с уме</w:t>
      </w:r>
      <w:r w:rsidRPr="0066225E">
        <w:softHyphen/>
        <w:t xml:space="preserve">р е н </w:t>
      </w:r>
      <w:proofErr w:type="spellStart"/>
      <w:proofErr w:type="gramStart"/>
      <w:r w:rsidRPr="0066225E">
        <w:t>н</w:t>
      </w:r>
      <w:proofErr w:type="spellEnd"/>
      <w:proofErr w:type="gramEnd"/>
      <w:r w:rsidRPr="0066225E">
        <w:t xml:space="preserve"> о й инфляцией используется м е т о д текущего учета. В с е статьи баланса, кроме счетов собственного капитала, переводятся из валюты в валюту по об-м е н </w:t>
      </w:r>
      <w:proofErr w:type="spellStart"/>
      <w:proofErr w:type="gramStart"/>
      <w:r w:rsidRPr="0066225E">
        <w:t>н</w:t>
      </w:r>
      <w:proofErr w:type="spellEnd"/>
      <w:proofErr w:type="gramEnd"/>
      <w:r w:rsidRPr="0066225E">
        <w:t xml:space="preserve"> о м у к у р с у на конец года. В с е прибыли или убытки, связанные с таким переводом, относятся непосредственно на собственный капитал в балансе и не влияют на чистую прибыль. При валютном переводе статей отчета о прибылях и убытках используется средний обменный курс за период.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Для стран с высокой инфляцией используется метод временного уче</w:t>
      </w:r>
      <w:r w:rsidRPr="0066225E">
        <w:softHyphen/>
        <w:t>та. К физическим активам, таким как земля, производственные помеще</w:t>
      </w:r>
      <w:r w:rsidRPr="0066225E">
        <w:softHyphen/>
        <w:t xml:space="preserve">ния и оборудование или запасы, применяются прошлые обменные </w:t>
      </w:r>
      <w:r w:rsidRPr="0066225E">
        <w:lastRenderedPageBreak/>
        <w:t>курсы. К денежным активам и обязательствам, таким как денежные средства, де</w:t>
      </w:r>
      <w:r w:rsidRPr="0066225E">
        <w:softHyphen/>
        <w:t>биторская или кредиторская задолженность, применяются обменные курсы на конец года.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>Таблица 17.2 описывает оба метода. В этом примере предполагается, что зарубежное подразделение приобрело постоянные активы в начале года, когда единица иностранной валюты стоила 0,95 дол. Но к концу года обменный курс изменился до 0,85 дол</w:t>
      </w:r>
      <w:proofErr w:type="gramStart"/>
      <w:r w:rsidRPr="0066225E">
        <w:t xml:space="preserve">., </w:t>
      </w:r>
      <w:proofErr w:type="gramEnd"/>
      <w:r w:rsidRPr="0066225E">
        <w:t>и, таким образом, средний курс за год составил 0,90 дол. При учете товарно-материальных запасов зарубеж</w:t>
      </w:r>
      <w:r w:rsidRPr="0066225E">
        <w:softHyphen/>
        <w:t>ное подразделение использует бухгалтерский метод ЛИФО в сочетании с соответствующим прошлым обменным курсом 0,91 дол.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Текущий учет начинается с отчета о прибылях и убытках, все статьи которого переводятся из валюты в валюту по среднегодовому обменному курсу. Чистая прибыль переносится в баланс как нераспределенная при</w:t>
      </w:r>
      <w:r w:rsidRPr="0066225E">
        <w:softHyphen/>
        <w:t>быль; все балансовые активы и обязательства переводятся по обменному курсу «спот»; к обыкновенным акциям применяется прошлый обменный курс; и в заключение в собственный капитал вносится поправка на перевод из одной валюты в другую.</w:t>
      </w:r>
    </w:p>
    <w:p w:rsidR="0066225E" w:rsidRPr="0066225E" w:rsidRDefault="0066225E" w:rsidP="0066225E">
      <w:pPr>
        <w:spacing w:after="0" w:line="240" w:lineRule="auto"/>
        <w:jc w:val="center"/>
        <w:rPr>
          <w:b/>
        </w:rPr>
      </w:pPr>
      <w:r w:rsidRPr="0066225E">
        <w:rPr>
          <w:b/>
        </w:rPr>
        <w:t>Международное налогообложение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 xml:space="preserve">Налогообложение многонациональных корпораций — весьма сложная и к тому же непрерывно меняющаяся субстанция. Интернет еще усугубляет проблему, поскольку становится в с е труднее определить, г д е (в какой ю </w:t>
      </w:r>
      <w:proofErr w:type="gramStart"/>
      <w:r w:rsidRPr="0066225E">
        <w:t>р</w:t>
      </w:r>
      <w:proofErr w:type="gramEnd"/>
      <w:r w:rsidRPr="0066225E">
        <w:t xml:space="preserve"> и с -дикции) заработана прибыль. Всякая стоимостная оценка требует хорошего знания по крайне мере двух предметов: национального налогового кодекса, которому подчиняется материнская компания, и налогового кодекса стра</w:t>
      </w:r>
      <w:r w:rsidRPr="0066225E">
        <w:softHyphen/>
        <w:t>ны, где расположено зарубежное подразделение. Но в большинстве случаев</w:t>
      </w:r>
    </w:p>
    <w:p w:rsidR="0066225E" w:rsidRPr="0066225E" w:rsidRDefault="0066225E" w:rsidP="0066225E">
      <w:pPr>
        <w:spacing w:after="0" w:line="240" w:lineRule="auto"/>
        <w:jc w:val="both"/>
        <w:sectPr w:rsidR="0066225E" w:rsidRPr="0066225E" w:rsidSect="0066225E">
          <w:pgSz w:w="11616" w:h="14664"/>
          <w:pgMar w:top="1186" w:right="624" w:bottom="2002" w:left="851" w:header="720" w:footer="720" w:gutter="0"/>
          <w:cols w:space="720"/>
        </w:sectPr>
      </w:pPr>
    </w:p>
    <w:p w:rsidR="0066225E" w:rsidRPr="0066225E" w:rsidRDefault="0066225E" w:rsidP="0066225E">
      <w:pPr>
        <w:spacing w:after="0" w:line="240" w:lineRule="auto"/>
        <w:jc w:val="both"/>
      </w:pPr>
      <w:r w:rsidRPr="0066225E">
        <w:lastRenderedPageBreak/>
        <w:t xml:space="preserve">Таблица 17.3.   К а </w:t>
      </w:r>
      <w:proofErr w:type="gramStart"/>
      <w:r w:rsidRPr="0066225E">
        <w:t>л ь</w:t>
      </w:r>
      <w:proofErr w:type="gramEnd"/>
      <w:r w:rsidRPr="0066225E">
        <w:t xml:space="preserve"> к у л я ц и я налогов д л я компании США с избыточным зарубежным налоговым кредитом и без избыточного кредита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(числовые данные, кроме налоговых ставок, — в дол.)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drawing>
          <wp:inline distT="0" distB="0" distL="0" distR="0" wp14:anchorId="02C3515B" wp14:editId="1A14C1F7">
            <wp:extent cx="4648200" cy="42767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Включена только та прибыль, к которой приложимы налоговые ставки США.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 xml:space="preserve">Зарубежный налоговый кредит равен либо сумме всех выплаченных </w:t>
      </w:r>
      <w:proofErr w:type="spellStart"/>
      <w:r w:rsidRPr="0066225E">
        <w:t>зарубежн</w:t>
      </w:r>
      <w:proofErr w:type="spellEnd"/>
      <w:r w:rsidRPr="0066225E">
        <w:t xml:space="preserve"> прибыли, умноженной на налоговую ставку США (500 дол</w:t>
      </w:r>
      <w:proofErr w:type="gramStart"/>
      <w:r w:rsidRPr="0066225E">
        <w:t>.</w:t>
      </w:r>
      <w:proofErr w:type="gramEnd"/>
      <w:r w:rsidRPr="0066225E">
        <w:t xml:space="preserve"> </w:t>
      </w:r>
      <w:proofErr w:type="gramStart"/>
      <w:r w:rsidRPr="0066225E">
        <w:t>х</w:t>
      </w:r>
      <w:proofErr w:type="gramEnd"/>
      <w:r w:rsidRPr="0066225E">
        <w:t xml:space="preserve"> 34% = 170 дол. этих величин меньше.</w:t>
      </w:r>
      <w:r>
        <w:rPr>
          <w:lang w:val="ky-KG"/>
        </w:rPr>
        <w:t xml:space="preserve"> </w:t>
      </w:r>
      <w:r w:rsidRPr="0066225E">
        <w:t>также нужно представлять себе налоговые системы каждой страны, где ма</w:t>
      </w:r>
      <w:r w:rsidRPr="0066225E">
        <w:softHyphen/>
        <w:t>теринская компания и ее подразделения ведут бизнес.</w:t>
      </w:r>
      <w:r>
        <w:rPr>
          <w:lang w:val="ky-KG"/>
        </w:rPr>
        <w:t xml:space="preserve"> </w:t>
      </w:r>
      <w:r w:rsidRPr="0066225E">
        <w:t>Техническое затруднение, возникающее при оценке зарубежного подраз</w:t>
      </w:r>
      <w:r w:rsidRPr="0066225E">
        <w:softHyphen/>
        <w:t>деления многонациональной компании, связано с зарубежным налоговым кредитом. В таблице 17.3 показано, как «обходится» с таким кредитом на</w:t>
      </w:r>
      <w:r w:rsidRPr="0066225E">
        <w:softHyphen/>
        <w:t>логовая система С Ш А . В нашем примере местные ставки налога на прибыль составляют 34% в С Ш А , 20% — в стране</w:t>
      </w:r>
      <w:proofErr w:type="gramStart"/>
      <w:r w:rsidRPr="0066225E">
        <w:t xml:space="preserve"> Е</w:t>
      </w:r>
      <w:proofErr w:type="gramEnd"/>
      <w:r w:rsidRPr="0066225E">
        <w:t xml:space="preserve"> и 60% — в стране М. С у м </w:t>
      </w:r>
      <w:proofErr w:type="spellStart"/>
      <w:r w:rsidRPr="0066225E">
        <w:t>м</w:t>
      </w:r>
      <w:proofErr w:type="spellEnd"/>
      <w:r w:rsidRPr="0066225E">
        <w:t xml:space="preserve"> а на</w:t>
      </w:r>
      <w:r w:rsidRPr="0066225E">
        <w:softHyphen/>
        <w:t xml:space="preserve">лога в США определяется из расчета 34% консолидированной </w:t>
      </w:r>
      <w:proofErr w:type="spellStart"/>
      <w:r w:rsidRPr="0066225E">
        <w:t>доналоговой</w:t>
      </w:r>
      <w:proofErr w:type="spellEnd"/>
      <w:r w:rsidRPr="0066225E">
        <w:t xml:space="preserve"> прибыли за вычетом зарубежного налогового кредита, который не может</w:t>
      </w:r>
      <w:r>
        <w:rPr>
          <w:lang w:val="ky-KG"/>
        </w:rPr>
        <w:t xml:space="preserve"> </w:t>
      </w:r>
      <w:r w:rsidRPr="0066225E">
        <w:t xml:space="preserve">превышать 34% прибыли, п о л у ч е н </w:t>
      </w:r>
      <w:proofErr w:type="spellStart"/>
      <w:proofErr w:type="gramStart"/>
      <w:r w:rsidRPr="0066225E">
        <w:t>н</w:t>
      </w:r>
      <w:proofErr w:type="spellEnd"/>
      <w:proofErr w:type="gramEnd"/>
      <w:r w:rsidRPr="0066225E">
        <w:t xml:space="preserve"> о й з а руб</w:t>
      </w:r>
      <w:r>
        <w:t xml:space="preserve">ежом. </w:t>
      </w:r>
      <w:proofErr w:type="gramStart"/>
      <w:r>
        <w:t>К</w:t>
      </w:r>
      <w:proofErr w:type="gramEnd"/>
      <w:r>
        <w:t xml:space="preserve"> о г д а </w:t>
      </w:r>
      <w:proofErr w:type="gramStart"/>
      <w:r>
        <w:t>зарубежный</w:t>
      </w:r>
      <w:proofErr w:type="gramEnd"/>
      <w:r>
        <w:t xml:space="preserve"> на</w:t>
      </w:r>
      <w:r w:rsidRPr="0066225E">
        <w:t>логовый кредит достигает максимума, допускаемого законодательством США (как в первом примере из табл. 17.3), консолидированный выплачен</w:t>
      </w:r>
      <w:r w:rsidRPr="0066225E">
        <w:softHyphen/>
        <w:t>ный налог оказывается равен сумме всех местных налогов, и, значит, корпо</w:t>
      </w:r>
      <w:r w:rsidRPr="0066225E">
        <w:softHyphen/>
        <w:t xml:space="preserve">рация не подвергается налоговому штрафу. Однако если налоговый к </w:t>
      </w:r>
      <w:proofErr w:type="gramStart"/>
      <w:r w:rsidRPr="0066225E">
        <w:t>р</w:t>
      </w:r>
      <w:proofErr w:type="gramEnd"/>
      <w:r w:rsidRPr="0066225E">
        <w:t xml:space="preserve"> е д и т не доведен до своего допустимого максимума (т. е. не исчерпан полностью как </w:t>
      </w:r>
      <w:r w:rsidRPr="0066225E">
        <w:lastRenderedPageBreak/>
        <w:t xml:space="preserve">во втором примере из табл. 17.3), то консолидированный выплаченный налог превышает сумму всех местных налогов; таким образом, корпорации вменяется налоговый штраф. На практике, согласно </w:t>
      </w:r>
      <w:proofErr w:type="gramStart"/>
      <w:r w:rsidRPr="0066225E">
        <w:t>налоговому</w:t>
      </w:r>
      <w:proofErr w:type="gramEnd"/>
      <w:r w:rsidRPr="0066225E">
        <w:t xml:space="preserve"> к о д е к с у США, эффективная налоговая ставка для подразделений, базирующихся в странах с низкими налогами, может быть повышена.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>Во втором примере из таблицы 17.3 средняя эффективная ставка н а л о г а на прибыль из страны Е по налоговому кодексу С Ш А возросла для материн</w:t>
      </w:r>
      <w:r w:rsidRPr="0066225E">
        <w:softHyphen/>
        <w:t>ской компании с 20% до (30 + 80)/400 = 27,5%. Предельная эффективная ставка налога на прибыль из страны</w:t>
      </w:r>
      <w:proofErr w:type="gramStart"/>
      <w:r w:rsidRPr="0066225E">
        <w:t xml:space="preserve"> Е</w:t>
      </w:r>
      <w:proofErr w:type="gramEnd"/>
      <w:r w:rsidRPr="0066225E">
        <w:t xml:space="preserve"> равна 34% — налоговой ставке в США. Таким образом, эффективная налоговая ставка в другой стране не всегда совпадает с внутренней официально установленной там ставкой, поскольку при определенных обстоятельствах она может зависеть от нало</w:t>
      </w:r>
      <w:r w:rsidRPr="0066225E">
        <w:softHyphen/>
        <w:t xml:space="preserve">говой ставки материнской компании. Применительно ко второму </w:t>
      </w:r>
      <w:proofErr w:type="gramStart"/>
      <w:r w:rsidRPr="0066225E">
        <w:t>п</w:t>
      </w:r>
      <w:proofErr w:type="gramEnd"/>
      <w:r w:rsidRPr="0066225E">
        <w:t xml:space="preserve"> р и м е р у из таблицы 17.3 это значит, что если есть основания ожидать сохранения подобной ситуации на длительный срок, то, возможно, материнской к о м -</w:t>
      </w:r>
      <w:proofErr w:type="spellStart"/>
      <w:r w:rsidRPr="0066225E">
        <w:t>пании</w:t>
      </w:r>
      <w:proofErr w:type="spellEnd"/>
      <w:r w:rsidRPr="0066225E">
        <w:t xml:space="preserve"> было бы разумнее продать подразделение в стране Е местному в л а -дельцу. Причина, разумеется, состоит в том, что </w:t>
      </w:r>
      <w:proofErr w:type="spellStart"/>
      <w:r w:rsidRPr="0066225E">
        <w:t>посленалоговый</w:t>
      </w:r>
      <w:proofErr w:type="spellEnd"/>
      <w:r w:rsidRPr="0066225E">
        <w:t xml:space="preserve"> денежный поток для владельца из страны</w:t>
      </w:r>
      <w:proofErr w:type="gramStart"/>
      <w:r w:rsidRPr="0066225E">
        <w:t xml:space="preserve"> Е</w:t>
      </w:r>
      <w:proofErr w:type="gramEnd"/>
      <w:r w:rsidRPr="0066225E">
        <w:t xml:space="preserve"> будет больше.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 xml:space="preserve">Эти примеры сильно упрощены. Правительство С </w:t>
      </w:r>
      <w:proofErr w:type="gramStart"/>
      <w:r w:rsidRPr="0066225E">
        <w:t>Ш</w:t>
      </w:r>
      <w:proofErr w:type="gramEnd"/>
      <w:r w:rsidRPr="0066225E">
        <w:t xml:space="preserve"> А обычно подвер</w:t>
      </w:r>
      <w:r w:rsidRPr="0066225E">
        <w:softHyphen/>
        <w:t xml:space="preserve">г а е т налогообложению прибыли зарубежных подразделений только в т е х случаях, когда эти прибыли возвращаются в Соединенные Штаты в ф о р м е дивидендов. Если выплата дивидендов может быть отсрочена, то же к а с а </w:t>
      </w:r>
      <w:proofErr w:type="gramStart"/>
      <w:r w:rsidRPr="0066225E">
        <w:t>-</w:t>
      </w:r>
      <w:proofErr w:type="spellStart"/>
      <w:r w:rsidRPr="0066225E">
        <w:t>е</w:t>
      </w:r>
      <w:proofErr w:type="gramEnd"/>
      <w:r w:rsidRPr="0066225E">
        <w:t>тся</w:t>
      </w:r>
      <w:proofErr w:type="spellEnd"/>
      <w:r w:rsidRPr="0066225E">
        <w:t xml:space="preserve"> и дополнительного налогового бремени в США.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Минимизация налогов и трансфертное ценообразование</w:t>
      </w:r>
    </w:p>
    <w:p w:rsidR="0066225E" w:rsidRPr="0066225E" w:rsidRDefault="0066225E" w:rsidP="0066225E">
      <w:pPr>
        <w:spacing w:after="0" w:line="240" w:lineRule="auto"/>
        <w:ind w:firstLine="708"/>
        <w:jc w:val="both"/>
        <w:rPr>
          <w:lang w:val="ky-KG"/>
        </w:rPr>
        <w:sectPr w:rsidR="0066225E" w:rsidRPr="0066225E" w:rsidSect="0066225E">
          <w:pgSz w:w="11078" w:h="14635"/>
          <w:pgMar w:top="1104" w:right="499" w:bottom="2035" w:left="851" w:header="720" w:footer="720" w:gutter="0"/>
          <w:cols w:space="720"/>
        </w:sectPr>
      </w:pPr>
      <w:r w:rsidRPr="0066225E">
        <w:t xml:space="preserve">Компании всегда стараются занизить уровень прибылей там, где действуют высокие налоговые ставки. </w:t>
      </w:r>
      <w:proofErr w:type="gramStart"/>
      <w:r w:rsidRPr="0066225E">
        <w:t xml:space="preserve">Для этого существует масса приемов, например: придать подразделению как можно больше </w:t>
      </w:r>
      <w:r>
        <w:t>функций корпоративного цент</w:t>
      </w:r>
      <w:r w:rsidRPr="0066225E">
        <w:t>ра; приписать ему расходы на НИОКР; брать займы через это подразде</w:t>
      </w:r>
      <w:r w:rsidRPr="0066225E">
        <w:softHyphen/>
        <w:t>ление; консолидировать прибыльные и неприбыльные подразделения, работающие в одной стране, дабы во</w:t>
      </w:r>
      <w:r>
        <w:t>спользоваться налоговыми преимуществами перенос</w:t>
      </w:r>
      <w:r w:rsidRPr="0066225E">
        <w:t>а убытков н а прибыли;</w:t>
      </w:r>
      <w:r>
        <w:t xml:space="preserve"> оформлять причитающиеся слу</w:t>
      </w:r>
      <w:r w:rsidRPr="0066225E">
        <w:t>жащим опционы на акции в других странах;</w:t>
      </w:r>
      <w:proofErr w:type="gramEnd"/>
      <w:r w:rsidRPr="0066225E">
        <w:t xml:space="preserve"> использовать бухгалтерский метод «издержки плюс» для сокращения зарубежных прибылей; повысить ставки роялти для зарубежного подразделения; ввести гонорарную с и </w:t>
      </w:r>
      <w:proofErr w:type="gramStart"/>
      <w:r w:rsidRPr="0066225E">
        <w:t>с</w:t>
      </w:r>
      <w:proofErr w:type="gramEnd"/>
      <w:r w:rsidRPr="0066225E">
        <w:t xml:space="preserve"> т е м у оплаты труда менеджеров; отказаться от ведения бизнеса </w:t>
      </w:r>
      <w:r>
        <w:t xml:space="preserve">в стране с </w:t>
      </w:r>
      <w:proofErr w:type="spellStart"/>
      <w:r>
        <w:t>высо</w:t>
      </w:r>
      <w:proofErr w:type="spellEnd"/>
    </w:p>
    <w:p w:rsidR="0066225E" w:rsidRPr="0066225E" w:rsidRDefault="0066225E" w:rsidP="0066225E">
      <w:pPr>
        <w:spacing w:after="0" w:line="240" w:lineRule="auto"/>
        <w:jc w:val="both"/>
      </w:pPr>
      <w:r w:rsidRPr="0066225E">
        <w:lastRenderedPageBreak/>
        <w:t>ким уровнем налогообложения; наконец, воспользоваться преимуществами трансфертного ценообразования. Подобные манипуляции, как правило, привлекают пристальное внимание налоговых органов. И все же налоговое планирование, безусловно, способно оказать сильное влияние на стоимость многонациональных корпораций.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>Установление подходящих трансфертных цен, по которым рассчиты</w:t>
      </w:r>
      <w:r w:rsidRPr="0066225E">
        <w:softHyphen/>
        <w:t>ваются между собой хозяйственные единицы многонациональной компа</w:t>
      </w:r>
      <w:r w:rsidRPr="0066225E">
        <w:softHyphen/>
        <w:t>нии, — это один из важнейших способов минимизации налогов, определяю-щ и й «участок», где объявляются прибыли</w:t>
      </w:r>
      <w:proofErr w:type="gramStart"/>
      <w:r w:rsidRPr="0066225E">
        <w:t>2</w:t>
      </w:r>
      <w:proofErr w:type="gramEnd"/>
      <w:r w:rsidRPr="0066225E">
        <w:t>. Между трансфертными ценами и эффективными налоговыми ставками имеется сложная взаимосвязь. Ради иллюстрации давайте вернемся к таблице 17.3. Допустим, что в первом при</w:t>
      </w:r>
      <w:r w:rsidRPr="0066225E">
        <w:softHyphen/>
        <w:t>мере показаны прибыли, исчисленные по рыночным ценам. В учебниках по экономике обычно рекомендуется принимать всякое деловое решение, исходя из рыночных цен, оставляя в стороне налоговые соображения. Однако в нашем примере нельзя пренебречь налоговыми обстоятельства</w:t>
      </w:r>
      <w:r w:rsidRPr="0066225E">
        <w:softHyphen/>
        <w:t xml:space="preserve">ми. Предположим, трансфертное ценообразование позволяет материнской компании перенести 200 дол. </w:t>
      </w:r>
      <w:proofErr w:type="spellStart"/>
      <w:r w:rsidRPr="0066225E">
        <w:t>доналоговой</w:t>
      </w:r>
      <w:proofErr w:type="spellEnd"/>
      <w:r w:rsidRPr="0066225E">
        <w:t xml:space="preserve"> прибыли подразделения из стра</w:t>
      </w:r>
      <w:r w:rsidRPr="0066225E">
        <w:softHyphen/>
        <w:t>ны М, которую отличает высокий уровень внутренних налогов, на подраз</w:t>
      </w:r>
      <w:r w:rsidRPr="0066225E">
        <w:softHyphen/>
        <w:t>деление в стране</w:t>
      </w:r>
      <w:proofErr w:type="gramStart"/>
      <w:r w:rsidRPr="0066225E">
        <w:t xml:space="preserve"> Е</w:t>
      </w:r>
      <w:proofErr w:type="gramEnd"/>
      <w:r w:rsidRPr="0066225E">
        <w:t xml:space="preserve"> с более мягким налоговым режимом. Результат показан в предпоследнем столбце второго примера: консолидированный налог на прибыль сократился с 560 до 510 дол</w:t>
      </w:r>
      <w:proofErr w:type="gramStart"/>
      <w:r w:rsidRPr="0066225E">
        <w:t xml:space="preserve">., </w:t>
      </w:r>
      <w:proofErr w:type="gramEnd"/>
      <w:r w:rsidRPr="0066225E">
        <w:t>но одновременно возник налоговый штраф в размере 30 дол.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>Тот факт, что система трансфертных цен порождает налоговый штраф, вызывает искушение подумать о продаже подразделения в стране</w:t>
      </w:r>
      <w:proofErr w:type="gramStart"/>
      <w:r w:rsidRPr="0066225E">
        <w:t xml:space="preserve"> Е</w:t>
      </w:r>
      <w:proofErr w:type="gramEnd"/>
      <w:r w:rsidRPr="0066225E">
        <w:t xml:space="preserve"> мест</w:t>
      </w:r>
      <w:r w:rsidRPr="0066225E">
        <w:softHyphen/>
        <w:t>ной иностранной фирме. Но с точки зрения покупателя, подразделение в состоянии заработать лишь 200 дол</w:t>
      </w:r>
      <w:proofErr w:type="gramStart"/>
      <w:r w:rsidRPr="0066225E">
        <w:t>.</w:t>
      </w:r>
      <w:proofErr w:type="gramEnd"/>
      <w:r w:rsidRPr="0066225E">
        <w:t xml:space="preserve"> </w:t>
      </w:r>
      <w:proofErr w:type="spellStart"/>
      <w:proofErr w:type="gramStart"/>
      <w:r w:rsidRPr="0066225E">
        <w:t>д</w:t>
      </w:r>
      <w:proofErr w:type="gramEnd"/>
      <w:r w:rsidRPr="0066225E">
        <w:t>оналоговой</w:t>
      </w:r>
      <w:proofErr w:type="spellEnd"/>
      <w:r w:rsidRPr="0066225E">
        <w:t xml:space="preserve"> прибыли, если считать в рыночных ценах, а не в искусственных трансфертных ценах материнской компании. Таким образом, стоимость бизнес-единицы</w:t>
      </w:r>
      <w:proofErr w:type="gramStart"/>
      <w:r w:rsidRPr="0066225E">
        <w:t xml:space="preserve"> Е</w:t>
      </w:r>
      <w:proofErr w:type="gramEnd"/>
      <w:r w:rsidRPr="0066225E">
        <w:t xml:space="preserve"> зависит от точ</w:t>
      </w:r>
      <w:r w:rsidRPr="0066225E">
        <w:softHyphen/>
        <w:t>ки зрения. Для материнской компании, пользующейся искусственными трансфертными ценами, она стоит 3200 дол</w:t>
      </w:r>
      <w:proofErr w:type="gramStart"/>
      <w:r w:rsidRPr="0066225E">
        <w:t>.</w:t>
      </w:r>
      <w:proofErr w:type="gramEnd"/>
      <w:r w:rsidRPr="0066225E">
        <w:t xml:space="preserve"> (</w:t>
      </w:r>
      <w:proofErr w:type="gramStart"/>
      <w:r w:rsidRPr="0066225E">
        <w:t>ч</w:t>
      </w:r>
      <w:proofErr w:type="gramEnd"/>
      <w:r w:rsidRPr="0066225E">
        <w:t>то следует из предпосылок, принятых в табл. 17.4):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($400 - $80)/10% = 3200 дол.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Но для иностранного владельца, базирующегося в стране E и использующе</w:t>
      </w:r>
      <w:r w:rsidRPr="0066225E">
        <w:softHyphen/>
        <w:t>го рыночные цены, она стоит лишь 1600 дол</w:t>
      </w:r>
      <w:proofErr w:type="gramStart"/>
      <w:r w:rsidRPr="0066225E">
        <w:t>.:</w:t>
      </w:r>
      <w:proofErr w:type="gramEnd"/>
    </w:p>
    <w:p w:rsidR="0066225E" w:rsidRPr="0066225E" w:rsidRDefault="0066225E" w:rsidP="0066225E">
      <w:pPr>
        <w:spacing w:after="0" w:line="240" w:lineRule="auto"/>
        <w:jc w:val="both"/>
      </w:pPr>
      <w:r w:rsidRPr="0066225E">
        <w:t>($200 - $40)/10% = 1600 дол.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 xml:space="preserve">На практике, согласно Закону С </w:t>
      </w:r>
      <w:proofErr w:type="gramStart"/>
      <w:r w:rsidRPr="0066225E">
        <w:t>Ш</w:t>
      </w:r>
      <w:proofErr w:type="gramEnd"/>
      <w:r w:rsidRPr="0066225E">
        <w:t xml:space="preserve"> А о налоговой реформе от 1986 г. ( T a x R e f o r m </w:t>
      </w:r>
      <w:proofErr w:type="spellStart"/>
      <w:r w:rsidRPr="0066225E">
        <w:t>Act</w:t>
      </w:r>
      <w:proofErr w:type="spellEnd"/>
      <w:r w:rsidRPr="0066225E">
        <w:t xml:space="preserve"> </w:t>
      </w:r>
      <w:proofErr w:type="spellStart"/>
      <w:r w:rsidRPr="0066225E">
        <w:t>of</w:t>
      </w:r>
      <w:proofErr w:type="spellEnd"/>
      <w:r w:rsidRPr="0066225E">
        <w:t xml:space="preserve"> 1986), зарубежные прибыли распределяются на 10 «доходных корзин» в зависимо</w:t>
      </w:r>
      <w:r w:rsidRPr="0066225E">
        <w:softHyphen/>
        <w:t xml:space="preserve">сти от типа прибыли (например, пассивный процентный доход, дивидендный </w:t>
      </w:r>
      <w:r w:rsidRPr="0066225E">
        <w:lastRenderedPageBreak/>
        <w:t>доход, внешнеторговая прибыль корпораций, прибыль от разработки зарубежных нефтега</w:t>
      </w:r>
      <w:r w:rsidRPr="0066225E">
        <w:softHyphen/>
        <w:t>зовых месторождений). Прибыль, порождающую большой зарубежный налоговый кредит, можно объединять с прибылью, налоговый кредит по которой невелик, но только в рамках одной «доходной корзины», а не из разных «корзин».</w:t>
      </w:r>
    </w:p>
    <w:p w:rsidR="0066225E" w:rsidRPr="0066225E" w:rsidRDefault="0066225E" w:rsidP="0066225E">
      <w:pPr>
        <w:spacing w:after="0" w:line="240" w:lineRule="auto"/>
        <w:jc w:val="both"/>
        <w:sectPr w:rsidR="0066225E" w:rsidRPr="0066225E" w:rsidSect="0066225E">
          <w:pgSz w:w="9715" w:h="14650"/>
          <w:pgMar w:top="1128" w:right="2059" w:bottom="1992" w:left="851" w:header="720" w:footer="720" w:gutter="0"/>
          <w:cols w:space="720"/>
        </w:sectPr>
      </w:pPr>
    </w:p>
    <w:p w:rsidR="0066225E" w:rsidRPr="0066225E" w:rsidRDefault="0066225E" w:rsidP="0066225E">
      <w:pPr>
        <w:spacing w:after="0" w:line="240" w:lineRule="auto"/>
        <w:jc w:val="both"/>
      </w:pPr>
      <w:r w:rsidRPr="0066225E">
        <w:lastRenderedPageBreak/>
        <w:t>3 8 4    Часть третья. Прикладные аспекты оценки стоимости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Таблица 17.4.   Стоимость различных комбинаций бизнес-единиц для материнской компании</w:t>
      </w:r>
      <w:proofErr w:type="gramStart"/>
      <w:r w:rsidRPr="0066225E">
        <w:t>1</w:t>
      </w:r>
      <w:proofErr w:type="gramEnd"/>
      <w:r w:rsidRPr="0066225E">
        <w:t>' (числовые данные — в дол.)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drawing>
          <wp:inline distT="0" distB="0" distL="0" distR="0" wp14:anchorId="2961D329" wp14:editId="28EE9FBE">
            <wp:extent cx="4600575" cy="14859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 xml:space="preserve">Проанализировав взаимодействие трансфертных цен с положениями налогового кодекса С </w:t>
      </w:r>
      <w:proofErr w:type="gramStart"/>
      <w:r w:rsidRPr="0066225E">
        <w:t>Ш</w:t>
      </w:r>
      <w:proofErr w:type="gramEnd"/>
      <w:r w:rsidRPr="0066225E">
        <w:t xml:space="preserve"> А , применяемыми</w:t>
      </w:r>
      <w:r>
        <w:t xml:space="preserve"> к многонациональным корпо</w:t>
      </w:r>
      <w:r w:rsidRPr="0066225E">
        <w:t>рациям, можно заключить, что оптимальное решение для материнской компании — прибегнуть к трансфертному ценообразованию для миними</w:t>
      </w:r>
      <w:r w:rsidRPr="0066225E">
        <w:softHyphen/>
        <w:t>зации налогов и сохранить оба зарубежных подразделения. В таблице 1 7 . 4 показана стоимость этой комбинации: 1500 дол</w:t>
      </w:r>
      <w:proofErr w:type="gramStart"/>
      <w:r w:rsidRPr="0066225E">
        <w:t>.</w:t>
      </w:r>
      <w:proofErr w:type="gramEnd"/>
      <w:r w:rsidRPr="0066225E">
        <w:t xml:space="preserve"> </w:t>
      </w:r>
      <w:proofErr w:type="spellStart"/>
      <w:proofErr w:type="gramStart"/>
      <w:r w:rsidRPr="0066225E">
        <w:t>д</w:t>
      </w:r>
      <w:proofErr w:type="gramEnd"/>
      <w:r w:rsidRPr="0066225E">
        <w:t>оналоговой</w:t>
      </w:r>
      <w:proofErr w:type="spellEnd"/>
      <w:r w:rsidRPr="0066225E">
        <w:t xml:space="preserve"> прибыли минус 510 дол. консолидированного налога при дисконтировании этого бессрочного денежного потока по ставке 10% дает в общей сложности 9900 дол. Если же продать подразделение Е за 1600 дол</w:t>
      </w:r>
      <w:proofErr w:type="gramStart"/>
      <w:r w:rsidRPr="0066225E">
        <w:t>.</w:t>
      </w:r>
      <w:proofErr w:type="gramEnd"/>
      <w:r w:rsidRPr="0066225E">
        <w:t xml:space="preserve"> (</w:t>
      </w:r>
      <w:proofErr w:type="gramStart"/>
      <w:r w:rsidRPr="0066225E">
        <w:t>в</w:t>
      </w:r>
      <w:proofErr w:type="gramEnd"/>
      <w:r w:rsidRPr="0066225E">
        <w:t xml:space="preserve"> </w:t>
      </w:r>
      <w:proofErr w:type="spellStart"/>
      <w:r w:rsidRPr="0066225E">
        <w:t>посленалоговом</w:t>
      </w:r>
      <w:proofErr w:type="spellEnd"/>
      <w:r w:rsidRPr="0066225E">
        <w:t xml:space="preserve"> выражении), то совокупная стоимость (включая стоимость предприятий в США и подразделения в стране М) составит лишь 8600 дол.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Результат оказался бы иным, если бы пример 2 из таблицы 17.3 отражал рыночные цены. Тогда было бы лучше продать подразделение Е. В итоге стоимость (не показанная в табл. 17.4) составила бы 10 200 дол. (3200 дол. от продажи подразделения Е плюс 7000 дол. стоимости оставшихся пред</w:t>
      </w:r>
      <w:r w:rsidRPr="0066225E">
        <w:softHyphen/>
        <w:t xml:space="preserve">приятий в С </w:t>
      </w:r>
      <w:proofErr w:type="gramStart"/>
      <w:r w:rsidRPr="0066225E">
        <w:t>Ш</w:t>
      </w:r>
      <w:proofErr w:type="gramEnd"/>
      <w:r w:rsidRPr="0066225E">
        <w:t xml:space="preserve"> А и подразделения М), тогда как при сохранении всех трех подразделений стоимость была бы равна только 9900 дол.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ДЕЙСТВИЕ 2: ПРОГНОЗИРОВАНИЕ ДЕ</w:t>
      </w:r>
      <w:r>
        <w:t>НЕЖНОГО ПОТОКА В ВАЛЮТ</w:t>
      </w:r>
      <w:r w:rsidRPr="0066225E">
        <w:t>Е ЗАРУБЕЖНОГО ПОДРАЗДЕЛЕНИЯ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Как мы отмечали в самом начале главы, оценивать зарубежное подразде</w:t>
      </w:r>
      <w:r w:rsidRPr="0066225E">
        <w:softHyphen/>
        <w:t xml:space="preserve">ление лучше в его родной валюте. Но </w:t>
      </w:r>
      <w:proofErr w:type="gramStart"/>
      <w:r w:rsidRPr="0066225E">
        <w:t>сперва</w:t>
      </w:r>
      <w:proofErr w:type="gramEnd"/>
      <w:r w:rsidRPr="0066225E">
        <w:t xml:space="preserve"> вы должны составить прогноз всех составляющих денежного потока в наиболее подходящих для них (ис</w:t>
      </w:r>
      <w:r w:rsidRPr="0066225E">
        <w:softHyphen/>
        <w:t xml:space="preserve">ходных) валютах. </w:t>
      </w:r>
      <w:proofErr w:type="gramStart"/>
      <w:r w:rsidRPr="0066225E">
        <w:t xml:space="preserve">Это означает, что прежде чем выводить единый набор финансовых показателей для зарубежного подразделения, прогнозный денежный поток по сделкам в Англии надо выразить в фунтах стерлингов, прогнозный денежный поток по сделкам в Швейцарии — в швейцарских франках и т. д. На практике это всегда итеративный процесс: вы не можете прогнозировать отдельные составляющие денежного потока, не посмотрев, как они сказываются на </w:t>
      </w:r>
      <w:r w:rsidRPr="0066225E">
        <w:lastRenderedPageBreak/>
        <w:t>остальных составляющих</w:t>
      </w:r>
      <w:proofErr w:type="gramEnd"/>
      <w:r w:rsidRPr="0066225E">
        <w:t>.</w:t>
      </w:r>
      <w:r>
        <w:t xml:space="preserve"> В а м н </w:t>
      </w:r>
      <w:proofErr w:type="gramStart"/>
      <w:r>
        <w:t>у</w:t>
      </w:r>
      <w:proofErr w:type="gramEnd"/>
      <w:r>
        <w:t xml:space="preserve"> ж е н внутренне со</w:t>
      </w:r>
      <w:r w:rsidRPr="0066225E">
        <w:t>гласованный интегральный прогноз, отражающий конкурентную динамику бизнес-единицы.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 xml:space="preserve">Как только такой прогноз (в исходных валютах) составлен, денежный поток, прежде чем его дисконтировать, необходимо перевести в </w:t>
      </w:r>
      <w:proofErr w:type="gramStart"/>
      <w:r w:rsidRPr="0066225E">
        <w:t>родную</w:t>
      </w:r>
      <w:proofErr w:type="gramEnd"/>
      <w:r w:rsidRPr="0066225E">
        <w:t xml:space="preserve"> в а л ю т у зарубежного подразделения форвардным методом (т. е. по форвард</w:t>
      </w:r>
      <w:r w:rsidRPr="0066225E">
        <w:softHyphen/>
        <w:t>ному обменному курсу). В нашем примере прогнозируемый французский доход в евро переводится в фунты стерлингов по форвардному курсу за каждый отдельный год. Затем он объединяется с другими денежными по</w:t>
      </w:r>
      <w:r w:rsidRPr="0066225E">
        <w:softHyphen/>
        <w:t>токами в стерлинговом эквиваленте и полученная сумма дисконтируется по средневзвешенным затратам на капитал британского подразделения. В реальной жизни форвардный курс обмена большинства валют известен не более чем на 18 месяцев вперед. Следовательно, применение этого ме</w:t>
      </w:r>
      <w:r w:rsidRPr="0066225E">
        <w:softHyphen/>
        <w:t>тода требует прогнозирования долгосрочных валютных курсов, на чем мы сейчас вкратце и остановимся.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 xml:space="preserve">В математическом смысле форвардный метод эквивалентен </w:t>
      </w:r>
      <w:r>
        <w:t>«спот</w:t>
      </w:r>
      <w:proofErr w:type="gramStart"/>
      <w:r>
        <w:t>»-</w:t>
      </w:r>
      <w:proofErr w:type="gramEnd"/>
      <w:r>
        <w:t>ме</w:t>
      </w:r>
      <w:r w:rsidRPr="0066225E">
        <w:t xml:space="preserve">тоду. Мы воспользуемся им на следующем этапе при дисконтировании всего денежного потока британского подразделения, который уже выражен в фунтах стерлингов, для перевода его приведенной стоимости в доллары С </w:t>
      </w:r>
      <w:proofErr w:type="gramStart"/>
      <w:r w:rsidRPr="0066225E">
        <w:t>Ш</w:t>
      </w:r>
      <w:proofErr w:type="gramEnd"/>
      <w:r w:rsidRPr="0066225E">
        <w:t xml:space="preserve"> А п о обменному к у р с у «спот».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«Спот</w:t>
      </w:r>
      <w:proofErr w:type="gramStart"/>
      <w:r w:rsidRPr="0066225E">
        <w:t>»-</w:t>
      </w:r>
      <w:proofErr w:type="gramEnd"/>
      <w:r w:rsidRPr="0066225E">
        <w:t>метод обычно не применяется для перевода отдельных состав</w:t>
      </w:r>
      <w:r w:rsidRPr="0066225E">
        <w:softHyphen/>
        <w:t>ляющих денежного потока (таких как доход британского подразделения, номинированный в евро), поскольку практически невозможно определить скорректированную на риск ставку дисконтирования для отдельно взятого потока французского дохода. Определение подходящей ставки дисконтиро</w:t>
      </w:r>
      <w:r w:rsidRPr="0066225E">
        <w:softHyphen/>
        <w:t>вания для совокупного денежного потока от всех операций — уже само по себе довольно мудреная задача.</w:t>
      </w:r>
    </w:p>
    <w:p w:rsidR="0066225E" w:rsidRPr="0066225E" w:rsidRDefault="0066225E" w:rsidP="0066225E">
      <w:pPr>
        <w:spacing w:after="0" w:line="240" w:lineRule="auto"/>
        <w:ind w:firstLine="708"/>
        <w:jc w:val="both"/>
      </w:pPr>
      <w:r w:rsidRPr="0066225E">
        <w:t>Для применения форвардного метода нужно: на основании паритета процентных ставок предсказать б у д у щ и е валютные курсы «спот»; пользуясь этими будущими «спот</w:t>
      </w:r>
      <w:proofErr w:type="gramStart"/>
      <w:r w:rsidRPr="0066225E">
        <w:t>»-</w:t>
      </w:r>
      <w:proofErr w:type="gramEnd"/>
      <w:r w:rsidRPr="0066225E">
        <w:t>курсами, перевести прогнозные денежные потоки из иностранной валюты в родную валюту подразделения. Проиллюстрируем этот метод на примере дохода, который британское подразделение получает из Франции и прогноз которого в евро представлен в таблице 17.5.</w:t>
      </w:r>
    </w:p>
    <w:p w:rsidR="0066225E" w:rsidRPr="0066225E" w:rsidRDefault="0066225E" w:rsidP="00A65C40">
      <w:pPr>
        <w:spacing w:after="0" w:line="240" w:lineRule="auto"/>
        <w:jc w:val="both"/>
      </w:pPr>
      <w:r w:rsidRPr="0066225E">
        <w:t>Концепция паритета процентных ставок зиждется на идее, что изме</w:t>
      </w:r>
      <w:r w:rsidRPr="0066225E">
        <w:softHyphen/>
        <w:t>нение валютных курсов зависит от соотношения ожидаемых уровней ин</w:t>
      </w:r>
      <w:r w:rsidRPr="0066225E">
        <w:softHyphen/>
        <w:t xml:space="preserve">фляции в двух странах. 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lastRenderedPageBreak/>
        <w:drawing>
          <wp:inline distT="0" distB="0" distL="0" distR="0" wp14:anchorId="6572F950" wp14:editId="06D3623C">
            <wp:extent cx="4686300" cy="10572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5E" w:rsidRPr="0066225E" w:rsidRDefault="0066225E" w:rsidP="0066225E">
      <w:pPr>
        <w:spacing w:after="0" w:line="240" w:lineRule="auto"/>
        <w:jc w:val="both"/>
        <w:sectPr w:rsidR="0066225E" w:rsidRPr="0066225E" w:rsidSect="0066225E">
          <w:pgSz w:w="9624" w:h="14630"/>
          <w:pgMar w:top="1104" w:right="1891" w:bottom="1949" w:left="851" w:header="720" w:footer="720" w:gutter="0"/>
          <w:cols w:space="720"/>
        </w:sectPr>
      </w:pPr>
    </w:p>
    <w:p w:rsidR="0066225E" w:rsidRPr="0066225E" w:rsidRDefault="0066225E" w:rsidP="0066225E">
      <w:pPr>
        <w:spacing w:after="0" w:line="240" w:lineRule="auto"/>
        <w:jc w:val="both"/>
      </w:pPr>
      <w:r w:rsidRPr="0066225E">
        <w:lastRenderedPageBreak/>
        <w:drawing>
          <wp:inline distT="0" distB="0" distL="0" distR="0" wp14:anchorId="766C480C" wp14:editId="3314F3AA">
            <wp:extent cx="4562475" cy="28479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 xml:space="preserve">Рисунок 17.2.    Взаимосвязь между инфляцией и внутренними процентными ставками в 47 странах за период 1977—1981 гг. Инфляция и правда в значительной мере объясняет </w:t>
      </w:r>
      <w:proofErr w:type="spellStart"/>
      <w:r w:rsidRPr="0066225E">
        <w:t>межстрановые</w:t>
      </w:r>
      <w:proofErr w:type="spellEnd"/>
      <w:r w:rsidRPr="0066225E">
        <w:t xml:space="preserve"> различия в номинальных процентных ставках.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Теория паритета процентных ставок гласит: ожидаемый в году t обмен</w:t>
      </w:r>
      <w:r w:rsidRPr="0066225E">
        <w:softHyphen/>
        <w:t>ный курс «спот» (</w:t>
      </w:r>
      <w:proofErr w:type="spellStart"/>
      <w:r w:rsidRPr="0066225E">
        <w:t>Xf</w:t>
      </w:r>
      <w:proofErr w:type="spellEnd"/>
      <w:r w:rsidRPr="0066225E">
        <w:t xml:space="preserve"> t ) равен текущему к у </w:t>
      </w:r>
      <w:proofErr w:type="gramStart"/>
      <w:r w:rsidRPr="0066225E">
        <w:t>р</w:t>
      </w:r>
      <w:proofErr w:type="gramEnd"/>
      <w:r w:rsidRPr="0066225E">
        <w:t xml:space="preserve"> с у «спот» (Х0), умноженному на с о -отношение номинальных ставок в двух странах за прогнозный период (t)3: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drawing>
          <wp:inline distT="0" distB="0" distL="0" distR="0" wp14:anchorId="45D48B9C" wp14:editId="05FCCB1F">
            <wp:extent cx="1162050" cy="438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где   f—   иностранная валюта, d — внутренняя валюта.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 xml:space="preserve">Давайте посмотрим, как работает эта теория, на примере одного года. Предположим, наше британское подразделение имеет возможность взять однолетний заем в Швейцарии </w:t>
      </w:r>
      <w:proofErr w:type="gramStart"/>
      <w:r w:rsidRPr="0066225E">
        <w:t>п</w:t>
      </w:r>
      <w:proofErr w:type="gramEnd"/>
      <w:r w:rsidRPr="0066225E">
        <w:t xml:space="preserve"> о номинальной с т а в к е ( </w:t>
      </w:r>
      <w:proofErr w:type="spellStart"/>
      <w:r w:rsidRPr="0066225E">
        <w:t>Nf</w:t>
      </w:r>
      <w:proofErr w:type="spellEnd"/>
      <w:r w:rsidRPr="0066225E">
        <w:t xml:space="preserve"> ) 4 % , т о г д а к а к в Великобритании ставка по таким займам составляет 7,1%. Допустим так</w:t>
      </w:r>
      <w:r w:rsidRPr="0066225E">
        <w:softHyphen/>
        <w:t>же, что текущий курс «спот» (Х0) равен 2,673 швейц. фр. за 1 ф. ст., а о д -</w:t>
      </w:r>
      <w:proofErr w:type="spellStart"/>
      <w:r w:rsidRPr="0066225E">
        <w:t>нолетний</w:t>
      </w:r>
      <w:proofErr w:type="spellEnd"/>
      <w:r w:rsidRPr="0066225E">
        <w:t xml:space="preserve"> форвардный курс (</w:t>
      </w:r>
      <w:proofErr w:type="spellStart"/>
      <w:r w:rsidRPr="0066225E">
        <w:t>Xf</w:t>
      </w:r>
      <w:proofErr w:type="spellEnd"/>
      <w:r w:rsidRPr="0066225E">
        <w:t>) — 2,5944 швейц. фр. за 1 ф. ст. Теперь на основании паритета процентных ставок мы можем определить, чему равна британская ставка, эквивалентная швейцарской ставке заимствования 4%: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drawing>
          <wp:inline distT="0" distB="0" distL="0" distR="0" wp14:anchorId="4E0929DF" wp14:editId="50982009">
            <wp:extent cx="3067050" cy="4286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5E" w:rsidRPr="0066225E" w:rsidRDefault="0066225E" w:rsidP="0066225E">
      <w:pPr>
        <w:spacing w:after="0" w:line="240" w:lineRule="auto"/>
        <w:jc w:val="both"/>
        <w:sectPr w:rsidR="0066225E" w:rsidRPr="0066225E" w:rsidSect="0066225E">
          <w:pgSz w:w="11544" w:h="14789"/>
          <w:pgMar w:top="1123" w:right="547" w:bottom="2107" w:left="851" w:header="720" w:footer="720" w:gutter="0"/>
          <w:cols w:space="720"/>
        </w:sectPr>
      </w:pPr>
    </w:p>
    <w:p w:rsidR="0066225E" w:rsidRPr="0066225E" w:rsidRDefault="0066225E" w:rsidP="00A65C40">
      <w:pPr>
        <w:spacing w:after="0" w:line="240" w:lineRule="auto"/>
        <w:ind w:firstLine="708"/>
        <w:jc w:val="both"/>
      </w:pPr>
      <w:r w:rsidRPr="0066225E">
        <w:lastRenderedPageBreak/>
        <w:t>Как выясняется, нет практически никакой разницы между заимствовани</w:t>
      </w:r>
      <w:r w:rsidRPr="0066225E">
        <w:softHyphen/>
        <w:t>ем в Великобритании под 7,1% и заимствованием в Швейцарии под 4%, поскольку швейцарская ставка эквивалентна 7,15% в Англии. Ставка по иностранному займу, если перевести ее в эквивалентную ставку внутренне</w:t>
      </w:r>
      <w:r w:rsidRPr="0066225E">
        <w:softHyphen/>
        <w:t>го заимствования, обычно весьма близка к действующей внутренней ставке (если только нет привходящих налоговых обстоятельств).</w:t>
      </w:r>
    </w:p>
    <w:p w:rsidR="0066225E" w:rsidRPr="0066225E" w:rsidRDefault="0066225E" w:rsidP="00A65C40">
      <w:pPr>
        <w:spacing w:after="0" w:line="240" w:lineRule="auto"/>
        <w:ind w:firstLine="708"/>
        <w:jc w:val="both"/>
      </w:pPr>
      <w:r w:rsidRPr="0066225E">
        <w:t>Теперь давайте разберемся, как на основе паритета процентных ставок прогнозировать будущие валютные курсы «спот», и затем воспользуемся этими знаниями, чтобы перевести французский доход в евро (из табл. 17.5) в британские фунты стерлингов. Таблица 17.6 иллюстрирует эту процедуру. В строках 1 и 2 представлены временные структуры процентных ставок по правительственным займам в Великобритании и Франции. Строка 3 пока</w:t>
      </w:r>
      <w:r w:rsidRPr="0066225E">
        <w:softHyphen/>
        <w:t>зывает соотношение номинальных ставок. Как мы знаем, согласно теории паритета процентных ставок, отношение номинальных ставок, умноженное на текущий «спот</w:t>
      </w:r>
      <w:proofErr w:type="gramStart"/>
      <w:r w:rsidRPr="0066225E">
        <w:t>»-</w:t>
      </w:r>
      <w:proofErr w:type="gramEnd"/>
      <w:r w:rsidRPr="0066225E">
        <w:t>курс фунта стерлингов к евро (£/€), дает значение фор</w:t>
      </w:r>
      <w:r w:rsidRPr="0066225E">
        <w:softHyphen/>
        <w:t>вардного обменного курса.</w:t>
      </w:r>
    </w:p>
    <w:p w:rsidR="0066225E" w:rsidRDefault="0066225E" w:rsidP="0066225E">
      <w:pPr>
        <w:spacing w:after="0" w:line="240" w:lineRule="auto"/>
        <w:jc w:val="both"/>
        <w:rPr>
          <w:lang w:val="ky-KG"/>
        </w:rPr>
      </w:pPr>
      <w:r w:rsidRPr="0066225E">
        <w:t>Как явствует из строки 5, рынок ожидает укрепления фунта стерлингов относительно евро. Французский доход в евро, показанный в строке 6, пере</w:t>
      </w:r>
      <w:r w:rsidRPr="0066225E">
        <w:softHyphen/>
        <w:t>водится в стерлинговый эквивалент (строка 7) на основе паритета процент</w:t>
      </w:r>
      <w:r w:rsidRPr="0066225E">
        <w:softHyphen/>
        <w:t>ных ставок. Когда все доходы и расходы британского подразделения будут переведены в фунты стерлингов, вы получите полноценный прогноз отчета о прибылях и убытках и баланса, выраженный в британской валюте.</w:t>
      </w:r>
    </w:p>
    <w:p w:rsidR="00A65C40" w:rsidRPr="00A65C40" w:rsidRDefault="00A65C40" w:rsidP="0066225E">
      <w:pPr>
        <w:spacing w:after="0" w:line="240" w:lineRule="auto"/>
        <w:jc w:val="both"/>
        <w:rPr>
          <w:lang w:val="ky-KG"/>
        </w:rPr>
      </w:pPr>
    </w:p>
    <w:p w:rsidR="0066225E" w:rsidRPr="00A65C40" w:rsidRDefault="00A65C40" w:rsidP="00A65C40">
      <w:pPr>
        <w:spacing w:after="0" w:line="240" w:lineRule="auto"/>
        <w:jc w:val="center"/>
        <w:rPr>
          <w:b/>
          <w:lang w:val="ky-KG"/>
        </w:rPr>
      </w:pPr>
      <w:r w:rsidRPr="00A65C40">
        <w:rPr>
          <w:b/>
        </w:rPr>
        <w:t>Определение ставки дисконтирования в иностранной валюте</w:t>
      </w:r>
    </w:p>
    <w:p w:rsidR="00A65C40" w:rsidRPr="00A65C40" w:rsidRDefault="00A65C40" w:rsidP="0066225E">
      <w:pPr>
        <w:spacing w:after="0" w:line="240" w:lineRule="auto"/>
        <w:jc w:val="both"/>
        <w:rPr>
          <w:lang w:val="ky-KG"/>
        </w:rPr>
      </w:pPr>
    </w:p>
    <w:p w:rsidR="0066225E" w:rsidRPr="0066225E" w:rsidRDefault="0066225E" w:rsidP="00A65C40">
      <w:pPr>
        <w:spacing w:after="0" w:line="240" w:lineRule="auto"/>
        <w:ind w:firstLine="708"/>
        <w:jc w:val="both"/>
      </w:pPr>
      <w:r w:rsidRPr="0066225E">
        <w:t>Общий принцип, которым следует руководствоваться при определении ставки дисконтирования для потока иностранной валюты, состоит в том, что это должна быть скорректированная на риск ставка, характерная для конкретной страны. Тот факт, что подразделение расположено за рубежом, ни в коей мере не меняет определения средневзвешенных затрат на капитал (WACC). Две самые распространенные ошибки, допускаемые при оценке WACC, — это внесение ситуационных (</w:t>
      </w:r>
      <w:proofErr w:type="spellStart"/>
      <w:r w:rsidRPr="0066225E">
        <w:t>ad</w:t>
      </w:r>
      <w:proofErr w:type="spellEnd"/>
      <w:r w:rsidRPr="0066225E">
        <w:t xml:space="preserve"> </w:t>
      </w:r>
      <w:proofErr w:type="spellStart"/>
      <w:r w:rsidRPr="0066225E">
        <w:t>hoc</w:t>
      </w:r>
      <w:proofErr w:type="spellEnd"/>
      <w:r w:rsidR="00A65C40">
        <w:t>) поправок на риск и автома</w:t>
      </w:r>
      <w:r w:rsidRPr="0066225E">
        <w:t xml:space="preserve">тическое перенесение WACC материнской компании на денежный поток в иностранной валюте. Что касается первой ошибки, то корректировки </w:t>
      </w:r>
      <w:proofErr w:type="spellStart"/>
      <w:r w:rsidRPr="0066225E">
        <w:t>ad</w:t>
      </w:r>
      <w:proofErr w:type="spellEnd"/>
      <w:r w:rsidRPr="0066225E">
        <w:t xml:space="preserve"> h o c в стремлении отразить в ставке дисконтирования политические риски, а также риски зарубежного инвестирования или колебания валютных к у </w:t>
      </w:r>
      <w:proofErr w:type="gramStart"/>
      <w:r w:rsidRPr="0066225E">
        <w:t>р</w:t>
      </w:r>
      <w:proofErr w:type="gramEnd"/>
      <w:r w:rsidRPr="0066225E">
        <w:t xml:space="preserve"> с о в совершенно недопустимы. Как мы поясним в главе 19, политические риски лучше всего учитывать в оценке ожидаемых денежных потоков, взвешивая эти риски по вероятности осуществления того или иного сценария. Риски, связанные с валютными курсами или зарубежными инвестициями, хорошо «улавливает» курс «спот»; причем это абсолютно симметричные риски: повышение и снижение покупательной способности денег равновероятны. Что касается второй ошибки, то должно быть понятно: если денежный </w:t>
      </w:r>
      <w:proofErr w:type="gramStart"/>
      <w:r w:rsidRPr="0066225E">
        <w:t>п</w:t>
      </w:r>
      <w:proofErr w:type="gramEnd"/>
      <w:r w:rsidRPr="0066225E">
        <w:t xml:space="preserve"> о -ток прогнозируется в единицах иностранной валюты, то и дисконтировать его следует по ставке соответствующей зарубежной страны, ибо такая ставка отражает альтернативные издержки привлечения капитала в этой стране, включая ожидаемую инфляцию и рыночную премию за риск.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Целевая структура капитала подразделения — это выраженная в ры</w:t>
      </w:r>
      <w:r w:rsidRPr="0066225E">
        <w:softHyphen/>
        <w:t>ночных ценах комбинация источников финансирования, которой подраз</w:t>
      </w:r>
      <w:r w:rsidRPr="0066225E">
        <w:softHyphen/>
        <w:t>деление придерживалось бы в долгосрочной перспективе, будучи самосто</w:t>
      </w:r>
      <w:r w:rsidRPr="0066225E">
        <w:softHyphen/>
        <w:t>ятельной независимой фирмой. Фактическая структура капитала, устанав</w:t>
      </w:r>
      <w:r w:rsidRPr="0066225E">
        <w:softHyphen/>
        <w:t xml:space="preserve">ливаемая подразделению материнской компанией, может существенно отличаться от целевой структуры. К примеру, из налоговых соображений на подразделение может быть возложено долговое </w:t>
      </w:r>
      <w:r w:rsidRPr="0066225E">
        <w:lastRenderedPageBreak/>
        <w:t>бремя. Налоговый эффект такого рода схем трансфертного ценообразования учитывается в оценке ожидаемого денежного потока, и при определении ставки дисконтирования не следует дублировать поправку на этот эффект.</w:t>
      </w:r>
    </w:p>
    <w:p w:rsidR="00A65C40" w:rsidRDefault="00A65C40" w:rsidP="0066225E">
      <w:pPr>
        <w:spacing w:after="0" w:line="240" w:lineRule="auto"/>
        <w:jc w:val="both"/>
        <w:rPr>
          <w:lang w:val="ky-KG"/>
        </w:rPr>
      </w:pPr>
    </w:p>
    <w:p w:rsidR="0066225E" w:rsidRPr="00A65C40" w:rsidRDefault="0066225E" w:rsidP="00A65C40">
      <w:pPr>
        <w:spacing w:after="0" w:line="240" w:lineRule="auto"/>
        <w:jc w:val="center"/>
        <w:rPr>
          <w:b/>
        </w:rPr>
      </w:pPr>
      <w:r w:rsidRPr="00A65C40">
        <w:rPr>
          <w:b/>
        </w:rPr>
        <w:t xml:space="preserve">ДИСКОНТИРОВАНИЕ ДЕНЕЖНОГО </w:t>
      </w:r>
      <w:proofErr w:type="gramStart"/>
      <w:r w:rsidRPr="00A65C40">
        <w:rPr>
          <w:b/>
        </w:rPr>
        <w:t>П</w:t>
      </w:r>
      <w:proofErr w:type="gramEnd"/>
      <w:r w:rsidRPr="00A65C40">
        <w:rPr>
          <w:b/>
        </w:rPr>
        <w:t xml:space="preserve"> О Т О К А</w:t>
      </w:r>
    </w:p>
    <w:p w:rsidR="0066225E" w:rsidRPr="0066225E" w:rsidRDefault="0066225E" w:rsidP="00A65C40">
      <w:pPr>
        <w:spacing w:after="0" w:line="240" w:lineRule="auto"/>
        <w:ind w:firstLine="708"/>
        <w:jc w:val="both"/>
      </w:pPr>
      <w:r w:rsidRPr="0066225E">
        <w:t>Определив средневзвешенные затраты подразделения на капитал, вы може</w:t>
      </w:r>
      <w:r w:rsidRPr="0066225E">
        <w:softHyphen/>
        <w:t>те приступать к дисконтированию свободного денежного потока, прогноз которого вы составили на этапе 2, и к переводу его в родную валюту мате</w:t>
      </w:r>
      <w:r w:rsidRPr="0066225E">
        <w:softHyphen/>
        <w:t>ринской компании. В таблице 17.7 показан ожидаемый свободный денеж</w:t>
      </w:r>
      <w:r w:rsidRPr="0066225E">
        <w:softHyphen/>
        <w:t>ный поток британского подразделения. Он дисконтируется к приведенной стоимости по WACC подразделения, которые мы принимаем за 11,8%, и затем переводится в доллары умножением приведенной стоимости, выра</w:t>
      </w:r>
      <w:r w:rsidRPr="0066225E">
        <w:softHyphen/>
        <w:t>женной в фунтах стерлингов, на обменный «спот</w:t>
      </w:r>
      <w:proofErr w:type="gramStart"/>
      <w:r w:rsidRPr="0066225E">
        <w:t>»-</w:t>
      </w:r>
      <w:proofErr w:type="gramEnd"/>
      <w:r w:rsidRPr="0066225E">
        <w:t>курс фунта к доллару*.</w:t>
      </w:r>
    </w:p>
    <w:p w:rsidR="0066225E" w:rsidRPr="0066225E" w:rsidRDefault="0066225E" w:rsidP="00A65C40">
      <w:pPr>
        <w:spacing w:after="0" w:line="240" w:lineRule="auto"/>
        <w:ind w:firstLine="708"/>
        <w:jc w:val="both"/>
      </w:pPr>
      <w:r w:rsidRPr="0066225E">
        <w:t>* Правильнее было бы сказать: «...умножением... на обменный «спот</w:t>
      </w:r>
      <w:proofErr w:type="gramStart"/>
      <w:r w:rsidRPr="0066225E">
        <w:t>»-</w:t>
      </w:r>
      <w:proofErr w:type="gramEnd"/>
      <w:r w:rsidRPr="0066225E">
        <w:t>курс в прямой котировке фунта к доллару или на единицу, деленную на обменный «спот»-курс в косвенной котировке фунта к доллару». Прямая котировка указывает количество долларов, эквивалентное 1 ф. ст. (т. е. на сколько долларов можно обменять 1 ф. ст.), косвенная котировка указывает количество фунтов стерлингов, эквивалентное 1 дол. Используемое в таблице 17.7 значение 0,63 — это обменный курс в косвенной коти</w:t>
      </w:r>
      <w:r w:rsidRPr="0066225E">
        <w:softHyphen/>
        <w:t xml:space="preserve">ровке. Следовательно, при переводе приведенной стоимости из фунтов стерлингов в доллары действие, обозначенное в предпоследней строке таблицы как « ÷ 0,63», более строго можно записать как «х(1 ÷ 0,63)». — Примет, </w:t>
      </w:r>
      <w:proofErr w:type="spellStart"/>
      <w:r w:rsidRPr="0066225E">
        <w:t>наугногоредактора</w:t>
      </w:r>
      <w:proofErr w:type="spellEnd"/>
      <w:r w:rsidRPr="0066225E">
        <w:t>.</w:t>
      </w:r>
    </w:p>
    <w:p w:rsidR="0066225E" w:rsidRPr="0066225E" w:rsidRDefault="0066225E" w:rsidP="0066225E">
      <w:pPr>
        <w:spacing w:after="0" w:line="240" w:lineRule="auto"/>
        <w:jc w:val="both"/>
        <w:sectPr w:rsidR="0066225E" w:rsidRPr="0066225E" w:rsidSect="0066225E">
          <w:pgSz w:w="11371" w:h="14693"/>
          <w:pgMar w:top="1104" w:right="768" w:bottom="2035" w:left="851" w:header="720" w:footer="720" w:gutter="0"/>
          <w:cols w:space="720"/>
        </w:sectPr>
      </w:pPr>
    </w:p>
    <w:p w:rsidR="0066225E" w:rsidRPr="0066225E" w:rsidRDefault="0066225E" w:rsidP="0066225E">
      <w:pPr>
        <w:spacing w:after="0" w:line="240" w:lineRule="auto"/>
        <w:jc w:val="both"/>
      </w:pPr>
      <w:r w:rsidRPr="0066225E">
        <w:lastRenderedPageBreak/>
        <w:t>Таблица 17.7.    Оценка стоимости: британское подразделение</w:t>
      </w:r>
    </w:p>
    <w:p w:rsidR="0066225E" w:rsidRPr="0066225E" w:rsidRDefault="0066225E" w:rsidP="0066225E">
      <w:pPr>
        <w:spacing w:after="0" w:line="240" w:lineRule="auto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8"/>
        <w:gridCol w:w="2016"/>
        <w:gridCol w:w="2818"/>
        <w:gridCol w:w="1574"/>
      </w:tblGrid>
      <w:tr w:rsidR="0066225E" w:rsidRPr="0066225E" w:rsidTr="0066225E">
        <w:trPr>
          <w:trHeight w:hRule="exact" w:val="250"/>
        </w:trPr>
        <w:tc>
          <w:tcPr>
            <w:tcW w:w="8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Гол</w:t>
            </w: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Свободный</w:t>
            </w:r>
          </w:p>
        </w:tc>
        <w:tc>
          <w:tcPr>
            <w:tcW w:w="28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Коэффициент дисконтирования</w:t>
            </w:r>
          </w:p>
        </w:tc>
        <w:tc>
          <w:tcPr>
            <w:tcW w:w="157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Приведенная</w:t>
            </w:r>
          </w:p>
        </w:tc>
      </w:tr>
      <w:tr w:rsidR="0066225E" w:rsidRPr="0066225E" w:rsidTr="0066225E">
        <w:trPr>
          <w:trHeight w:hRule="exact" w:val="187"/>
        </w:trPr>
        <w:tc>
          <w:tcPr>
            <w:tcW w:w="888" w:type="dxa"/>
            <w:shd w:val="clear" w:color="auto" w:fill="FFFFFF"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</w:p>
        </w:tc>
        <w:tc>
          <w:tcPr>
            <w:tcW w:w="201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денежный поток</w:t>
            </w:r>
          </w:p>
        </w:tc>
        <w:tc>
          <w:tcPr>
            <w:tcW w:w="2818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при иностранной ставке 11,8%</w:t>
            </w:r>
          </w:p>
        </w:tc>
        <w:tc>
          <w:tcPr>
            <w:tcW w:w="1574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стоимость</w:t>
            </w:r>
          </w:p>
        </w:tc>
      </w:tr>
      <w:tr w:rsidR="0066225E" w:rsidRPr="0066225E" w:rsidTr="0066225E">
        <w:trPr>
          <w:trHeight w:hRule="exact" w:val="240"/>
        </w:trPr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(в ф. ст.)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(в ф. ст.)</w:t>
            </w:r>
          </w:p>
        </w:tc>
      </w:tr>
    </w:tbl>
    <w:p w:rsidR="0066225E" w:rsidRPr="0066225E" w:rsidRDefault="0066225E" w:rsidP="0066225E">
      <w:pPr>
        <w:spacing w:after="0" w:line="240" w:lineRule="auto"/>
        <w:jc w:val="both"/>
        <w:sectPr w:rsidR="0066225E" w:rsidRPr="0066225E" w:rsidSect="0066225E">
          <w:pgSz w:w="9571" w:h="14674"/>
          <w:pgMar w:top="1099" w:right="1810" w:bottom="2064" w:left="851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36"/>
        <w:gridCol w:w="566"/>
      </w:tblGrid>
      <w:tr w:rsidR="0066225E" w:rsidRPr="0066225E" w:rsidTr="0066225E">
        <w:trPr>
          <w:trHeight w:hRule="exact" w:val="182"/>
        </w:trPr>
        <w:tc>
          <w:tcPr>
            <w:tcW w:w="153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lastRenderedPageBreak/>
              <w:t>2000</w:t>
            </w:r>
          </w:p>
        </w:tc>
        <w:tc>
          <w:tcPr>
            <w:tcW w:w="56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100</w:t>
            </w:r>
          </w:p>
        </w:tc>
      </w:tr>
      <w:tr w:rsidR="0066225E" w:rsidRPr="0066225E" w:rsidTr="0066225E">
        <w:trPr>
          <w:trHeight w:hRule="exact" w:val="192"/>
        </w:trPr>
        <w:tc>
          <w:tcPr>
            <w:tcW w:w="153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2001</w:t>
            </w:r>
          </w:p>
        </w:tc>
        <w:tc>
          <w:tcPr>
            <w:tcW w:w="56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115</w:t>
            </w:r>
          </w:p>
        </w:tc>
      </w:tr>
      <w:tr w:rsidR="0066225E" w:rsidRPr="0066225E" w:rsidTr="0066225E">
        <w:trPr>
          <w:trHeight w:hRule="exact" w:val="192"/>
        </w:trPr>
        <w:tc>
          <w:tcPr>
            <w:tcW w:w="153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2002</w:t>
            </w:r>
          </w:p>
        </w:tc>
        <w:tc>
          <w:tcPr>
            <w:tcW w:w="56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130</w:t>
            </w:r>
          </w:p>
        </w:tc>
      </w:tr>
      <w:tr w:rsidR="0066225E" w:rsidRPr="0066225E" w:rsidTr="0066225E">
        <w:trPr>
          <w:trHeight w:hRule="exact" w:val="187"/>
        </w:trPr>
        <w:tc>
          <w:tcPr>
            <w:tcW w:w="153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2003</w:t>
            </w:r>
          </w:p>
        </w:tc>
        <w:tc>
          <w:tcPr>
            <w:tcW w:w="56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142</w:t>
            </w:r>
          </w:p>
        </w:tc>
      </w:tr>
      <w:tr w:rsidR="0066225E" w:rsidRPr="0066225E" w:rsidTr="0066225E">
        <w:trPr>
          <w:trHeight w:hRule="exact" w:val="192"/>
        </w:trPr>
        <w:tc>
          <w:tcPr>
            <w:tcW w:w="153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2004</w:t>
            </w:r>
          </w:p>
        </w:tc>
        <w:tc>
          <w:tcPr>
            <w:tcW w:w="56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160</w:t>
            </w:r>
          </w:p>
        </w:tc>
      </w:tr>
      <w:tr w:rsidR="0066225E" w:rsidRPr="0066225E" w:rsidTr="0066225E">
        <w:trPr>
          <w:trHeight w:hRule="exact" w:val="197"/>
        </w:trPr>
        <w:tc>
          <w:tcPr>
            <w:tcW w:w="153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2005</w:t>
            </w:r>
          </w:p>
        </w:tc>
        <w:tc>
          <w:tcPr>
            <w:tcW w:w="56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180</w:t>
            </w:r>
          </w:p>
        </w:tc>
      </w:tr>
      <w:tr w:rsidR="0066225E" w:rsidRPr="0066225E" w:rsidTr="0066225E">
        <w:trPr>
          <w:trHeight w:hRule="exact" w:val="192"/>
        </w:trPr>
        <w:tc>
          <w:tcPr>
            <w:tcW w:w="153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2006</w:t>
            </w:r>
          </w:p>
        </w:tc>
        <w:tc>
          <w:tcPr>
            <w:tcW w:w="56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196</w:t>
            </w:r>
          </w:p>
        </w:tc>
      </w:tr>
      <w:tr w:rsidR="0066225E" w:rsidRPr="0066225E" w:rsidTr="0066225E">
        <w:trPr>
          <w:trHeight w:hRule="exact" w:val="187"/>
        </w:trPr>
        <w:tc>
          <w:tcPr>
            <w:tcW w:w="153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2007</w:t>
            </w:r>
          </w:p>
        </w:tc>
        <w:tc>
          <w:tcPr>
            <w:tcW w:w="56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225</w:t>
            </w:r>
          </w:p>
        </w:tc>
      </w:tr>
      <w:tr w:rsidR="0066225E" w:rsidRPr="0066225E" w:rsidTr="0066225E">
        <w:trPr>
          <w:trHeight w:hRule="exact" w:val="197"/>
        </w:trPr>
        <w:tc>
          <w:tcPr>
            <w:tcW w:w="153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2008</w:t>
            </w:r>
          </w:p>
        </w:tc>
        <w:tc>
          <w:tcPr>
            <w:tcW w:w="56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252</w:t>
            </w:r>
          </w:p>
        </w:tc>
      </w:tr>
      <w:tr w:rsidR="0066225E" w:rsidRPr="0066225E" w:rsidTr="0066225E">
        <w:trPr>
          <w:trHeight w:hRule="exact" w:val="187"/>
        </w:trPr>
        <w:tc>
          <w:tcPr>
            <w:tcW w:w="153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2009</w:t>
            </w:r>
          </w:p>
        </w:tc>
        <w:tc>
          <w:tcPr>
            <w:tcW w:w="56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280</w:t>
            </w:r>
          </w:p>
        </w:tc>
      </w:tr>
      <w:tr w:rsidR="0066225E" w:rsidRPr="0066225E" w:rsidTr="0066225E">
        <w:trPr>
          <w:trHeight w:hRule="exact" w:val="221"/>
        </w:trPr>
        <w:tc>
          <w:tcPr>
            <w:tcW w:w="153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Продленная стоимость</w:t>
            </w:r>
          </w:p>
        </w:tc>
        <w:tc>
          <w:tcPr>
            <w:tcW w:w="56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2653</w:t>
            </w:r>
          </w:p>
        </w:tc>
      </w:tr>
      <w:tr w:rsidR="0066225E" w:rsidRPr="0066225E" w:rsidTr="0066225E">
        <w:trPr>
          <w:trHeight w:hRule="exact" w:val="226"/>
        </w:trPr>
        <w:tc>
          <w:tcPr>
            <w:tcW w:w="153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Приведенная стоимость</w:t>
            </w:r>
          </w:p>
        </w:tc>
        <w:tc>
          <w:tcPr>
            <w:tcW w:w="566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в ф. ст.</w:t>
            </w:r>
          </w:p>
        </w:tc>
      </w:tr>
      <w:tr w:rsidR="0066225E" w:rsidRPr="0066225E" w:rsidTr="0066225E">
        <w:trPr>
          <w:trHeight w:hRule="exact" w:val="211"/>
        </w:trPr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«Спот</w:t>
            </w:r>
            <w:proofErr w:type="gramStart"/>
            <w:r w:rsidRPr="0066225E">
              <w:t>»-</w:t>
            </w:r>
            <w:proofErr w:type="gramEnd"/>
            <w:r w:rsidRPr="0066225E">
              <w:t>курс £/$</w:t>
            </w: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</w:p>
        </w:tc>
      </w:tr>
      <w:tr w:rsidR="0066225E" w:rsidRPr="0066225E" w:rsidTr="0066225E">
        <w:trPr>
          <w:trHeight w:hRule="exact" w:val="235"/>
        </w:trPr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Приведенная стоимость</w:t>
            </w: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в дол.</w:t>
            </w:r>
          </w:p>
        </w:tc>
      </w:tr>
    </w:tbl>
    <w:p w:rsidR="0066225E" w:rsidRPr="0066225E" w:rsidRDefault="0066225E" w:rsidP="0066225E">
      <w:pPr>
        <w:spacing w:after="0" w:line="240" w:lineRule="auto"/>
        <w:jc w:val="both"/>
      </w:pPr>
      <w:r w:rsidRPr="0066225E"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25"/>
        <w:gridCol w:w="1920"/>
      </w:tblGrid>
      <w:tr w:rsidR="0066225E" w:rsidRPr="0066225E" w:rsidTr="0066225E">
        <w:trPr>
          <w:trHeight w:hRule="exact" w:val="182"/>
        </w:trPr>
        <w:tc>
          <w:tcPr>
            <w:tcW w:w="1325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0,8945</w:t>
            </w:r>
          </w:p>
        </w:tc>
        <w:tc>
          <w:tcPr>
            <w:tcW w:w="1920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89,45</w:t>
            </w:r>
          </w:p>
        </w:tc>
      </w:tr>
      <w:tr w:rsidR="0066225E" w:rsidRPr="0066225E" w:rsidTr="0066225E">
        <w:trPr>
          <w:trHeight w:hRule="exact" w:val="192"/>
        </w:trPr>
        <w:tc>
          <w:tcPr>
            <w:tcW w:w="1325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0,8000</w:t>
            </w:r>
          </w:p>
        </w:tc>
        <w:tc>
          <w:tcPr>
            <w:tcW w:w="1920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92,01</w:t>
            </w:r>
          </w:p>
        </w:tc>
      </w:tr>
      <w:tr w:rsidR="0066225E" w:rsidRPr="0066225E" w:rsidTr="0066225E">
        <w:trPr>
          <w:trHeight w:hRule="exact" w:val="192"/>
        </w:trPr>
        <w:tc>
          <w:tcPr>
            <w:tcW w:w="1325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0,7156</w:t>
            </w:r>
          </w:p>
        </w:tc>
        <w:tc>
          <w:tcPr>
            <w:tcW w:w="1920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93,03</w:t>
            </w:r>
          </w:p>
        </w:tc>
      </w:tr>
      <w:tr w:rsidR="0066225E" w:rsidRPr="0066225E" w:rsidTr="0066225E">
        <w:trPr>
          <w:trHeight w:hRule="exact" w:val="192"/>
        </w:trPr>
        <w:tc>
          <w:tcPr>
            <w:tcW w:w="1325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0,6401</w:t>
            </w:r>
          </w:p>
        </w:tc>
        <w:tc>
          <w:tcPr>
            <w:tcW w:w="1920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90,89</w:t>
            </w:r>
          </w:p>
        </w:tc>
      </w:tr>
      <w:tr w:rsidR="0066225E" w:rsidRPr="0066225E" w:rsidTr="0066225E">
        <w:trPr>
          <w:trHeight w:hRule="exact" w:val="192"/>
        </w:trPr>
        <w:tc>
          <w:tcPr>
            <w:tcW w:w="1325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0,5725</w:t>
            </w:r>
          </w:p>
        </w:tc>
        <w:tc>
          <w:tcPr>
            <w:tcW w:w="1920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91,60</w:t>
            </w:r>
          </w:p>
        </w:tc>
      </w:tr>
      <w:tr w:rsidR="0066225E" w:rsidRPr="0066225E" w:rsidTr="0066225E">
        <w:trPr>
          <w:trHeight w:hRule="exact" w:val="192"/>
        </w:trPr>
        <w:tc>
          <w:tcPr>
            <w:tcW w:w="1325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0,5121</w:t>
            </w:r>
          </w:p>
        </w:tc>
        <w:tc>
          <w:tcPr>
            <w:tcW w:w="1920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92,18</w:t>
            </w:r>
          </w:p>
        </w:tc>
      </w:tr>
      <w:tr w:rsidR="0066225E" w:rsidRPr="0066225E" w:rsidTr="0066225E">
        <w:trPr>
          <w:trHeight w:hRule="exact" w:val="192"/>
        </w:trPr>
        <w:tc>
          <w:tcPr>
            <w:tcW w:w="1325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0,4580</w:t>
            </w:r>
          </w:p>
        </w:tc>
        <w:tc>
          <w:tcPr>
            <w:tcW w:w="1920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89,78</w:t>
            </w:r>
          </w:p>
        </w:tc>
      </w:tr>
      <w:tr w:rsidR="0066225E" w:rsidRPr="0066225E" w:rsidTr="0066225E">
        <w:trPr>
          <w:trHeight w:hRule="exact" w:val="192"/>
        </w:trPr>
        <w:tc>
          <w:tcPr>
            <w:tcW w:w="1325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0,4097</w:t>
            </w:r>
          </w:p>
        </w:tc>
        <w:tc>
          <w:tcPr>
            <w:tcW w:w="1920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92,18</w:t>
            </w:r>
          </w:p>
        </w:tc>
      </w:tr>
      <w:tr w:rsidR="0066225E" w:rsidRPr="0066225E" w:rsidTr="0066225E">
        <w:trPr>
          <w:trHeight w:hRule="exact" w:val="197"/>
        </w:trPr>
        <w:tc>
          <w:tcPr>
            <w:tcW w:w="1325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0,3665</w:t>
            </w:r>
          </w:p>
        </w:tc>
        <w:tc>
          <w:tcPr>
            <w:tcW w:w="1920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92,35</w:t>
            </w:r>
          </w:p>
        </w:tc>
      </w:tr>
      <w:tr w:rsidR="0066225E" w:rsidRPr="0066225E" w:rsidTr="0066225E">
        <w:trPr>
          <w:trHeight w:hRule="exact" w:val="192"/>
        </w:trPr>
        <w:tc>
          <w:tcPr>
            <w:tcW w:w="1325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0,3278</w:t>
            </w:r>
          </w:p>
        </w:tc>
        <w:tc>
          <w:tcPr>
            <w:tcW w:w="1920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91,78</w:t>
            </w:r>
          </w:p>
        </w:tc>
      </w:tr>
      <w:tr w:rsidR="0066225E" w:rsidRPr="0066225E" w:rsidTr="0066225E">
        <w:trPr>
          <w:trHeight w:hRule="exact" w:val="230"/>
        </w:trPr>
        <w:tc>
          <w:tcPr>
            <w:tcW w:w="1325" w:type="dxa"/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0,3278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869,61</w:t>
            </w:r>
          </w:p>
        </w:tc>
      </w:tr>
      <w:tr w:rsidR="0066225E" w:rsidRPr="0066225E" w:rsidTr="0066225E">
        <w:trPr>
          <w:trHeight w:hRule="exact" w:val="206"/>
        </w:trPr>
        <w:tc>
          <w:tcPr>
            <w:tcW w:w="1325" w:type="dxa"/>
            <w:shd w:val="clear" w:color="auto" w:fill="FFFFFF"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1784,86</w:t>
            </w:r>
          </w:p>
        </w:tc>
      </w:tr>
      <w:tr w:rsidR="0066225E" w:rsidRPr="0066225E" w:rsidTr="0066225E">
        <w:trPr>
          <w:trHeight w:hRule="exact" w:val="211"/>
        </w:trPr>
        <w:tc>
          <w:tcPr>
            <w:tcW w:w="13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+0,63</w:t>
            </w:r>
          </w:p>
        </w:tc>
      </w:tr>
      <w:tr w:rsidR="0066225E" w:rsidRPr="0066225E" w:rsidTr="0066225E">
        <w:trPr>
          <w:trHeight w:hRule="exact" w:val="230"/>
        </w:trPr>
        <w:tc>
          <w:tcPr>
            <w:tcW w:w="13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6225E" w:rsidRPr="0066225E" w:rsidRDefault="0066225E" w:rsidP="0066225E">
            <w:pPr>
              <w:spacing w:after="0" w:line="240" w:lineRule="auto"/>
              <w:jc w:val="both"/>
            </w:pPr>
            <w:r w:rsidRPr="0066225E">
              <w:t>2833,1</w:t>
            </w:r>
          </w:p>
        </w:tc>
      </w:tr>
    </w:tbl>
    <w:p w:rsidR="0066225E" w:rsidRPr="0066225E" w:rsidRDefault="0066225E" w:rsidP="0066225E">
      <w:pPr>
        <w:spacing w:after="0" w:line="240" w:lineRule="auto"/>
        <w:jc w:val="both"/>
        <w:sectPr w:rsidR="0066225E" w:rsidRPr="0066225E" w:rsidSect="0066225E">
          <w:type w:val="continuous"/>
          <w:pgSz w:w="9571" w:h="14674"/>
          <w:pgMar w:top="1099" w:right="1810" w:bottom="2064" w:left="851" w:header="720" w:footer="720" w:gutter="0"/>
          <w:cols w:num="2" w:space="720" w:equalWidth="0">
            <w:col w:w="2102" w:space="1910"/>
            <w:col w:w="3244"/>
          </w:cols>
        </w:sectPr>
      </w:pPr>
    </w:p>
    <w:p w:rsidR="0066225E" w:rsidRDefault="0066225E" w:rsidP="0066225E">
      <w:pPr>
        <w:spacing w:after="0" w:line="240" w:lineRule="auto"/>
        <w:jc w:val="both"/>
        <w:rPr>
          <w:lang w:val="ky-KG"/>
        </w:rPr>
      </w:pPr>
      <w:r w:rsidRPr="0066225E">
        <w:lastRenderedPageBreak/>
        <w:t>Здесь следует сделать одно предостережение: поскольку вы дисконти</w:t>
      </w:r>
      <w:r w:rsidRPr="0066225E">
        <w:softHyphen/>
        <w:t>руете денежный поток подразделения, его приведенная стоимость в родной валюте материнской компании (в нашем примере — в долларах) может ока</w:t>
      </w:r>
      <w:r w:rsidRPr="0066225E">
        <w:softHyphen/>
        <w:t>заться иной, если в стране, где действует подразделение, установлены огра</w:t>
      </w:r>
      <w:r w:rsidRPr="0066225E">
        <w:softHyphen/>
        <w:t>ничения на экспатриацию денежных потоков обратно материнской компа</w:t>
      </w:r>
      <w:r w:rsidRPr="0066225E">
        <w:softHyphen/>
        <w:t>нии. Хотя зачастую можно найти пути в обход этих ограничений (к примеру, бартер или трансфертные цены), все равно нужно помнить, что стоимость подразделения для материнской компании зависит от величины и времени поступления свободного денежного потока (или его эквивалента).</w:t>
      </w:r>
    </w:p>
    <w:p w:rsidR="00A65C40" w:rsidRPr="00A65C40" w:rsidRDefault="00A65C40" w:rsidP="0066225E">
      <w:pPr>
        <w:spacing w:after="0" w:line="240" w:lineRule="auto"/>
        <w:jc w:val="both"/>
        <w:rPr>
          <w:lang w:val="ky-KG"/>
        </w:rPr>
      </w:pPr>
    </w:p>
    <w:p w:rsidR="0066225E" w:rsidRPr="00A65C40" w:rsidRDefault="0066225E" w:rsidP="00A65C40">
      <w:pPr>
        <w:spacing w:after="0" w:line="240" w:lineRule="auto"/>
        <w:jc w:val="center"/>
        <w:rPr>
          <w:b/>
        </w:rPr>
      </w:pPr>
      <w:r w:rsidRPr="00A65C40">
        <w:rPr>
          <w:b/>
        </w:rPr>
        <w:t>ЭФФЕКТ ХЕДЖИРОВАНИЯ ВАЛЮТНЫХ КУРСОВ</w:t>
      </w:r>
    </w:p>
    <w:p w:rsidR="00A65C40" w:rsidRPr="0066225E" w:rsidRDefault="0066225E" w:rsidP="00A65C40">
      <w:pPr>
        <w:spacing w:after="0" w:line="240" w:lineRule="auto"/>
        <w:ind w:firstLine="708"/>
        <w:jc w:val="both"/>
      </w:pPr>
      <w:r w:rsidRPr="0066225E">
        <w:t>Концептуально хеджирование представляет собой довольно сложную проблему, главным образом потому, что ему трудно найти теоретические обоснования с точки зрения выгод для акционеров. Нет ничего необычного в том, что многонациональные компании имеют множество форвардных контрактов на иностранную валюту, посредством которых они защищают</w:t>
      </w:r>
      <w:r w:rsidRPr="0066225E">
        <w:softHyphen/>
        <w:t>ся от неожиданных колебаний валютных курсов. Хотя подобная практика предназначена для снижения валютных рисков, она сама сопряжена с рис</w:t>
      </w:r>
      <w:r w:rsidRPr="0066225E">
        <w:softHyphen/>
        <w:t xml:space="preserve">ком и нередко приводит к бедственным последствиям, хорошо известным по громким публикациям. Скажем, компания </w:t>
      </w:r>
      <w:proofErr w:type="spellStart"/>
      <w:r w:rsidRPr="0066225E">
        <w:t>Volkswagen</w:t>
      </w:r>
      <w:proofErr w:type="spellEnd"/>
      <w:r w:rsidRPr="0066225E">
        <w:t xml:space="preserve"> потеряла на этом 200 </w:t>
      </w:r>
      <w:proofErr w:type="gramStart"/>
      <w:r w:rsidRPr="0066225E">
        <w:t>млн</w:t>
      </w:r>
      <w:proofErr w:type="gramEnd"/>
      <w:r w:rsidRPr="0066225E">
        <w:t xml:space="preserve"> дол., a </w:t>
      </w:r>
      <w:proofErr w:type="spellStart"/>
      <w:r w:rsidRPr="0066225E">
        <w:t>Spectra</w:t>
      </w:r>
      <w:proofErr w:type="spellEnd"/>
      <w:r w:rsidRPr="0066225E">
        <w:t xml:space="preserve"> </w:t>
      </w:r>
      <w:proofErr w:type="spellStart"/>
      <w:r w:rsidRPr="0066225E">
        <w:t>Physics</w:t>
      </w:r>
      <w:proofErr w:type="spellEnd"/>
      <w:r w:rsidRPr="0066225E">
        <w:t xml:space="preserve"> в результате неудачных валютных сделок по</w:t>
      </w:r>
      <w:r w:rsidRPr="0066225E">
        <w:softHyphen/>
        <w:t xml:space="preserve">несла убытки на сумму всей годовой прибыли. 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 xml:space="preserve">Но есть и другие средства хеджирования. </w:t>
      </w:r>
      <w:proofErr w:type="gramStart"/>
      <w:r w:rsidRPr="0066225E">
        <w:t>Если ожидается обесценение местной валюты, компания может защитить</w:t>
      </w:r>
      <w:r w:rsidRPr="0066225E">
        <w:softHyphen/>
        <w:t>ся от этого несколькими способами: держать меньше местной валюты и рыночных ценных бумаг; растянуть оплату кредиторской задолженности; выставлять счета за свой экспорт в иностранной валюте, а счета за импорт оплачивать внутренней валютой; ужесточить условия торгового кредита в иностранной валюте; брать больше займов в иностранной валюте.</w:t>
      </w:r>
      <w:proofErr w:type="gramEnd"/>
    </w:p>
    <w:p w:rsidR="0066225E" w:rsidRPr="0066225E" w:rsidRDefault="0066225E" w:rsidP="00A65C40">
      <w:pPr>
        <w:spacing w:after="0" w:line="240" w:lineRule="auto"/>
        <w:ind w:firstLine="708"/>
        <w:jc w:val="both"/>
      </w:pPr>
      <w:r w:rsidRPr="0066225E">
        <w:t>До 1990-х годов издавалось мало литературы по хеджированию, да и та была весьма отрывочной. Большинство авторов писали либо о хед</w:t>
      </w:r>
      <w:r w:rsidRPr="0066225E">
        <w:softHyphen/>
        <w:t>жировании отдельных сделок (таких как продажа товаров с отсрочкой оплаты), либо об общем уменьшении изменчивости денежных потоков (снижении дисперсии). С недавних пор та</w:t>
      </w:r>
      <w:r w:rsidR="00A65C40">
        <w:t>кой фрагментарный подход сме</w:t>
      </w:r>
      <w:r w:rsidRPr="0066225E">
        <w:t xml:space="preserve">нился обстоятельным анализом способов максимизации стоимости, когда сравниваются издержки и </w:t>
      </w:r>
      <w:proofErr w:type="gramStart"/>
      <w:r w:rsidRPr="0066225E">
        <w:t>выгоды</w:t>
      </w:r>
      <w:proofErr w:type="gramEnd"/>
      <w:r w:rsidRPr="0066225E">
        <w:t xml:space="preserve"> различных </w:t>
      </w:r>
      <w:proofErr w:type="spellStart"/>
      <w:r w:rsidRPr="0066225E">
        <w:t>хеджинговых</w:t>
      </w:r>
      <w:proofErr w:type="spellEnd"/>
      <w:r w:rsidRPr="0066225E">
        <w:t xml:space="preserve"> программ. Из этого анализа следует, что не всякой компании нужно прибегать к хеджи</w:t>
      </w:r>
      <w:r w:rsidRPr="0066225E">
        <w:softHyphen/>
        <w:t>рованию. И, кстати, не всякая это делает. Остается только понять, на каком основании компания должна принимать решение, заниматься ли ей хеджи</w:t>
      </w:r>
      <w:r w:rsidRPr="0066225E">
        <w:softHyphen/>
        <w:t xml:space="preserve">рованием и, если да, какую </w:t>
      </w:r>
      <w:proofErr w:type="gramStart"/>
      <w:r w:rsidRPr="0066225E">
        <w:t>форму</w:t>
      </w:r>
      <w:proofErr w:type="gramEnd"/>
      <w:r w:rsidRPr="0066225E">
        <w:t xml:space="preserve"> избрать и </w:t>
      </w:r>
      <w:proofErr w:type="gramStart"/>
      <w:r w:rsidRPr="0066225E">
        <w:t>какой</w:t>
      </w:r>
      <w:proofErr w:type="gramEnd"/>
      <w:r w:rsidRPr="0066225E">
        <w:t xml:space="preserve"> коэффициент хеджиро</w:t>
      </w:r>
      <w:r w:rsidRPr="0066225E">
        <w:softHyphen/>
        <w:t>вания в этом случае уместен. Рисунок 17.3 иллюстрирует результаты опроса 530 нефинансовых компаний, посвященного использованию производных финансовых инструментов (дериватов) для хеджирования рисков</w:t>
      </w:r>
      <w:proofErr w:type="gramStart"/>
      <w:r w:rsidRPr="0066225E">
        <w:t>4</w:t>
      </w:r>
      <w:proofErr w:type="gramEnd"/>
      <w:r w:rsidRPr="0066225E">
        <w:t xml:space="preserve">. С </w:t>
      </w:r>
      <w:proofErr w:type="gramStart"/>
      <w:r w:rsidRPr="0066225E">
        <w:t>р</w:t>
      </w:r>
      <w:proofErr w:type="gramEnd"/>
      <w:r w:rsidRPr="0066225E">
        <w:t xml:space="preserve"> е д и опрошенных компаний 35% пользовались дериватами для хеджирования, а в этой группе 47% пользовались </w:t>
      </w:r>
      <w:proofErr w:type="spellStart"/>
      <w:r w:rsidRPr="0066225E">
        <w:t>внефондовыми</w:t>
      </w:r>
      <w:proofErr w:type="spellEnd"/>
      <w:r w:rsidRPr="0066225E">
        <w:t xml:space="preserve"> форвардными контрак</w:t>
      </w:r>
      <w:r w:rsidRPr="0066225E">
        <w:softHyphen/>
        <w:t>тами. Предпочтения тех или иных форм хеджирования сделок показаны на рисунке 17.4. Типичная практика сводится к тому, чтобы выявить конкрет</w:t>
      </w:r>
      <w:r w:rsidRPr="0066225E">
        <w:softHyphen/>
        <w:t xml:space="preserve">ный источник валютного риска и затем уравновесить его соответствующим форвардным контрактом или опционом. Проблема здесь в том, что </w:t>
      </w:r>
      <w:proofErr w:type="gramStart"/>
      <w:r w:rsidRPr="0066225E">
        <w:t>п</w:t>
      </w:r>
      <w:proofErr w:type="gramEnd"/>
      <w:r w:rsidRPr="0066225E">
        <w:t xml:space="preserve"> р и таком подходе учитываются не все денежные потоки (и фактически ком</w:t>
      </w:r>
      <w:r w:rsidRPr="0066225E">
        <w:softHyphen/>
        <w:t>пания может остаться незащищенной). Но даже если бы удалось охватить все денежные потоки, некоторые из них, в первую очередь кредиторская и дебиторская задолженность, не поддаются точному прогнозированию. В результате хеджирование все равно может оказаться неэффективным.</w:t>
      </w:r>
    </w:p>
    <w:p w:rsidR="0066225E" w:rsidRPr="0066225E" w:rsidRDefault="0066225E" w:rsidP="00A65C40">
      <w:pPr>
        <w:spacing w:after="0" w:line="240" w:lineRule="auto"/>
        <w:ind w:firstLine="708"/>
        <w:jc w:val="both"/>
      </w:pPr>
      <w:r w:rsidRPr="0066225E">
        <w:lastRenderedPageBreak/>
        <w:t>Если говорить о сокращении чистого риска (изменчивости), то в таком случае эффективность хеджирования выражается относительным умень</w:t>
      </w:r>
      <w:r w:rsidRPr="0066225E">
        <w:softHyphen/>
        <w:t>шением дисперсии хеджируемой переменной (обычно операционного денежного потока компании). Здесь никак не обойтись без математики. Определим хеджируемую позицию компании как изменение операционно</w:t>
      </w:r>
      <w:r w:rsidRPr="0066225E">
        <w:softHyphen/>
        <w:t>го денежного потока минус коэффициент хеджирования ( / г )</w:t>
      </w:r>
      <w:proofErr w:type="gramStart"/>
      <w:r w:rsidRPr="0066225E">
        <w:t xml:space="preserve"> ,</w:t>
      </w:r>
      <w:proofErr w:type="gramEnd"/>
      <w:r w:rsidRPr="0066225E">
        <w:t xml:space="preserve"> умноженный на изменение стоимости форвардной позиции: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Операционная прибыль = (P1- Р</w:t>
      </w:r>
      <w:proofErr w:type="gramStart"/>
      <w:r w:rsidRPr="0066225E">
        <w:t>0</w:t>
      </w:r>
      <w:proofErr w:type="gramEnd"/>
      <w:r w:rsidRPr="0066225E">
        <w:t>) - h(F1- F0).</w:t>
      </w:r>
    </w:p>
    <w:p w:rsidR="0066225E" w:rsidRPr="0066225E" w:rsidRDefault="0066225E" w:rsidP="0066225E">
      <w:pPr>
        <w:spacing w:after="0" w:line="240" w:lineRule="auto"/>
        <w:jc w:val="both"/>
        <w:sectPr w:rsidR="0066225E" w:rsidRPr="0066225E" w:rsidSect="0066225E">
          <w:pgSz w:w="11640" w:h="14837"/>
          <w:pgMar w:top="1181" w:right="754" w:bottom="2122" w:left="851" w:header="720" w:footer="720" w:gutter="0"/>
          <w:cols w:space="720"/>
        </w:sectPr>
      </w:pPr>
    </w:p>
    <w:p w:rsidR="0066225E" w:rsidRPr="0066225E" w:rsidRDefault="0066225E" w:rsidP="0066225E">
      <w:pPr>
        <w:spacing w:after="0" w:line="240" w:lineRule="auto"/>
        <w:jc w:val="both"/>
      </w:pPr>
      <w:r w:rsidRPr="0066225E">
        <w:lastRenderedPageBreak/>
        <w:t xml:space="preserve">Рисунок 17.3.    Использование производных финансовых инструментов для управления рисками (числовые данные — </w:t>
      </w:r>
      <w:proofErr w:type="gramStart"/>
      <w:r w:rsidRPr="0066225E">
        <w:t>в</w:t>
      </w:r>
      <w:proofErr w:type="gramEnd"/>
      <w:r w:rsidRPr="0066225E">
        <w:t xml:space="preserve"> %)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Фьючерсы</w:t>
      </w:r>
      <w:r w:rsidRPr="0066225E">
        <w:tab/>
        <w:t xml:space="preserve">i </w:t>
      </w:r>
      <w:proofErr w:type="spellStart"/>
      <w:r w:rsidRPr="0066225E">
        <w:t>hi</w:t>
      </w:r>
      <w:proofErr w:type="spellEnd"/>
      <w:r w:rsidRPr="0066225E">
        <w:tab/>
        <w:t>1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drawing>
          <wp:inline distT="0" distB="0" distL="0" distR="0" wp14:anchorId="7711D2CE" wp14:editId="01D12B5D">
            <wp:extent cx="4572000" cy="29051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 xml:space="preserve">Рисунок 17.4.   Причины д </w:t>
      </w:r>
      <w:proofErr w:type="gramStart"/>
      <w:r w:rsidRPr="0066225E">
        <w:t>л</w:t>
      </w:r>
      <w:proofErr w:type="gramEnd"/>
      <w:r w:rsidRPr="0066225E">
        <w:t xml:space="preserve"> я использования производных</w:t>
      </w:r>
    </w:p>
    <w:p w:rsidR="0066225E" w:rsidRPr="0066225E" w:rsidRDefault="0066225E" w:rsidP="0066225E">
      <w:pPr>
        <w:spacing w:after="0" w:line="240" w:lineRule="auto"/>
        <w:jc w:val="both"/>
      </w:pPr>
      <w:proofErr w:type="gramStart"/>
      <w:r w:rsidRPr="0066225E">
        <w:t>финансовых инструментов (числовые данные обозначают число фирм,</w:t>
      </w:r>
      <w:proofErr w:type="gramEnd"/>
    </w:p>
    <w:p w:rsidR="0066225E" w:rsidRPr="0066225E" w:rsidRDefault="0066225E" w:rsidP="0066225E">
      <w:pPr>
        <w:spacing w:after="0" w:line="240" w:lineRule="auto"/>
        <w:jc w:val="both"/>
      </w:pPr>
      <w:proofErr w:type="gramStart"/>
      <w:r w:rsidRPr="0066225E">
        <w:t>пользующихся</w:t>
      </w:r>
      <w:proofErr w:type="gramEnd"/>
      <w:r w:rsidRPr="0066225E">
        <w:t xml:space="preserve"> дериватами, в %)</w:t>
      </w:r>
    </w:p>
    <w:p w:rsidR="0066225E" w:rsidRPr="0066225E" w:rsidRDefault="0066225E" w:rsidP="0066225E">
      <w:pPr>
        <w:spacing w:after="0" w:line="240" w:lineRule="auto"/>
        <w:jc w:val="both"/>
        <w:sectPr w:rsidR="0066225E" w:rsidRPr="0066225E" w:rsidSect="0066225E">
          <w:pgSz w:w="9442" w:h="14827"/>
          <w:pgMar w:top="1253" w:right="1723" w:bottom="2102" w:left="851" w:header="720" w:footer="720" w:gutter="0"/>
          <w:cols w:space="720"/>
        </w:sectPr>
      </w:pPr>
    </w:p>
    <w:p w:rsidR="0066225E" w:rsidRPr="0066225E" w:rsidRDefault="0066225E" w:rsidP="0066225E">
      <w:pPr>
        <w:spacing w:after="0" w:line="240" w:lineRule="auto"/>
        <w:jc w:val="both"/>
      </w:pPr>
      <w:r w:rsidRPr="0066225E">
        <w:lastRenderedPageBreak/>
        <w:drawing>
          <wp:inline distT="0" distB="0" distL="0" distR="0" wp14:anchorId="50795272" wp14:editId="595CBA14">
            <wp:extent cx="4581525" cy="23431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1)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На срок более 12 месяцев.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2)  На срок менее 12 месяцев.</w:t>
      </w:r>
    </w:p>
    <w:p w:rsidR="0066225E" w:rsidRPr="0066225E" w:rsidRDefault="0066225E" w:rsidP="0066225E">
      <w:pPr>
        <w:spacing w:after="0" w:line="240" w:lineRule="auto"/>
        <w:jc w:val="both"/>
        <w:sectPr w:rsidR="0066225E" w:rsidRPr="0066225E" w:rsidSect="0066225E">
          <w:type w:val="continuous"/>
          <w:pgSz w:w="9442" w:h="14827"/>
          <w:pgMar w:top="1253" w:right="1882" w:bottom="2102" w:left="851" w:header="720" w:footer="720" w:gutter="0"/>
          <w:cols w:space="720"/>
        </w:sectPr>
      </w:pPr>
    </w:p>
    <w:p w:rsidR="0066225E" w:rsidRPr="0066225E" w:rsidRDefault="0066225E" w:rsidP="0066225E">
      <w:pPr>
        <w:spacing w:after="0" w:line="240" w:lineRule="auto"/>
        <w:jc w:val="both"/>
      </w:pPr>
      <w:r w:rsidRPr="0066225E">
        <w:lastRenderedPageBreak/>
        <w:t xml:space="preserve">О т с ю д а ожидаемый хеджируемый денежный поток и его дисперсию м </w:t>
      </w:r>
      <w:proofErr w:type="gramStart"/>
      <w:r w:rsidRPr="0066225E">
        <w:t>о</w:t>
      </w:r>
      <w:proofErr w:type="gramEnd"/>
      <w:r w:rsidRPr="0066225E">
        <w:t xml:space="preserve"> ж н о выразить следующим образом:</w:t>
      </w:r>
    </w:p>
    <w:p w:rsidR="0066225E" w:rsidRPr="0066225E" w:rsidRDefault="0066225E" w:rsidP="0066225E">
      <w:pPr>
        <w:spacing w:after="0" w:line="240" w:lineRule="auto"/>
        <w:jc w:val="both"/>
        <w:sectPr w:rsidR="0066225E" w:rsidRPr="0066225E" w:rsidSect="0066225E">
          <w:pgSz w:w="11179" w:h="14669"/>
          <w:pgMar w:top="1138" w:right="686" w:bottom="2016" w:left="851" w:header="720" w:footer="720" w:gutter="0"/>
          <w:cols w:space="720"/>
        </w:sectPr>
      </w:pPr>
    </w:p>
    <w:p w:rsidR="0066225E" w:rsidRPr="0066225E" w:rsidRDefault="0066225E" w:rsidP="0066225E">
      <w:pPr>
        <w:spacing w:after="0" w:line="240" w:lineRule="auto"/>
        <w:jc w:val="both"/>
      </w:pPr>
      <w:r w:rsidRPr="0066225E">
        <w:lastRenderedPageBreak/>
        <w:drawing>
          <wp:inline distT="0" distB="0" distL="0" distR="0" wp14:anchorId="555B79DD" wp14:editId="315F0301">
            <wp:extent cx="3429000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5E" w:rsidRPr="0066225E" w:rsidRDefault="0066225E" w:rsidP="0066225E">
      <w:pPr>
        <w:spacing w:after="0" w:line="240" w:lineRule="auto"/>
        <w:jc w:val="both"/>
      </w:pPr>
    </w:p>
    <w:p w:rsidR="0066225E" w:rsidRPr="0066225E" w:rsidRDefault="0066225E" w:rsidP="0066225E">
      <w:pPr>
        <w:spacing w:after="0" w:line="240" w:lineRule="auto"/>
        <w:jc w:val="both"/>
        <w:sectPr w:rsidR="0066225E" w:rsidRPr="0066225E" w:rsidSect="0066225E">
          <w:type w:val="continuous"/>
          <w:pgSz w:w="11179" w:h="14669"/>
          <w:pgMar w:top="1138" w:right="686" w:bottom="2016" w:left="851" w:header="720" w:footer="720" w:gutter="0"/>
          <w:cols w:space="720"/>
        </w:sectPr>
      </w:pPr>
    </w:p>
    <w:p w:rsidR="0066225E" w:rsidRPr="0066225E" w:rsidRDefault="0066225E" w:rsidP="0066225E">
      <w:pPr>
        <w:spacing w:after="0" w:line="240" w:lineRule="auto"/>
        <w:jc w:val="both"/>
      </w:pPr>
      <w:r w:rsidRPr="0066225E">
        <w:lastRenderedPageBreak/>
        <w:t>где P1 - Р</w:t>
      </w:r>
      <w:proofErr w:type="gramStart"/>
      <w:r w:rsidRPr="0066225E">
        <w:t>0</w:t>
      </w:r>
      <w:proofErr w:type="gramEnd"/>
      <w:r w:rsidRPr="0066225E">
        <w:t xml:space="preserve"> — изменение операционной прибыли;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 xml:space="preserve">F1 - F0 — изменение цены форвардного или фьючерсного контракта; h — </w:t>
      </w:r>
      <w:proofErr w:type="spellStart"/>
      <w:r w:rsidRPr="0066225E">
        <w:t>минимизирующий</w:t>
      </w:r>
      <w:proofErr w:type="spellEnd"/>
      <w:r w:rsidRPr="0066225E">
        <w:t xml:space="preserve"> дисперсию коэффициент хеджирования;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VAR(P) — дисперсия операционного денежного потока;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 xml:space="preserve">VAR(F) — дисперсия денежной отдачи от </w:t>
      </w:r>
      <w:proofErr w:type="gramStart"/>
      <w:r w:rsidRPr="0066225E">
        <w:t>форвардного</w:t>
      </w:r>
      <w:proofErr w:type="gramEnd"/>
      <w:r w:rsidRPr="0066225E">
        <w:t xml:space="preserve"> или фьючерсного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контракта; r2 — корреляция между операционным денежным потоком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и денежной отдачей от форвардного или фьючерсного контракта.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Взяв производную дисперсии операционной прибыли по коэффициенту хеджирования (h) и приравняв ее к нулю, найдем оптимальный коэффици</w:t>
      </w:r>
      <w:r w:rsidRPr="0066225E">
        <w:softHyphen/>
        <w:t>ент хеджирования для портфеля с минимальной дисперсией: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drawing>
          <wp:inline distT="0" distB="0" distL="0" distR="0" wp14:anchorId="25031089" wp14:editId="019E2314">
            <wp:extent cx="771525" cy="409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Заметьте, что здесь присутствует линейная регрессия операционной прибы</w:t>
      </w:r>
      <w:r w:rsidRPr="0066225E">
        <w:softHyphen/>
        <w:t>ли по прибыли (убытку) на форвардных контрактах. Подставив оптималь</w:t>
      </w:r>
      <w:r w:rsidRPr="0066225E">
        <w:softHyphen/>
        <w:t xml:space="preserve">ный коэффициент хеджирования в формулу дисперсии, мы увидим, что среднее </w:t>
      </w:r>
      <w:proofErr w:type="spellStart"/>
      <w:r w:rsidRPr="0066225E">
        <w:t>квадратическое</w:t>
      </w:r>
      <w:proofErr w:type="spellEnd"/>
      <w:r w:rsidRPr="0066225E">
        <w:t xml:space="preserve"> отклонение </w:t>
      </w:r>
      <w:proofErr w:type="spellStart"/>
      <w:r w:rsidRPr="0066225E">
        <w:t>хеджингового</w:t>
      </w:r>
      <w:proofErr w:type="spellEnd"/>
      <w:r w:rsidRPr="0066225E">
        <w:t xml:space="preserve"> портфеля с минималь</w:t>
      </w:r>
      <w:r w:rsidRPr="0066225E">
        <w:softHyphen/>
        <w:t>ной дисперсией зависит от корреляции между операционной прибылью и прибылью (убытком) на форвардных контрактах: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drawing>
          <wp:inline distT="0" distB="0" distL="0" distR="0" wp14:anchorId="2AB4586F" wp14:editId="63B16D92">
            <wp:extent cx="1171575" cy="361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5E" w:rsidRPr="0066225E" w:rsidRDefault="0066225E" w:rsidP="0066225E">
      <w:pPr>
        <w:spacing w:after="0" w:line="240" w:lineRule="auto"/>
        <w:jc w:val="both"/>
      </w:pPr>
      <w:proofErr w:type="gramStart"/>
      <w:r w:rsidRPr="0066225E">
        <w:t>Допустим, значение r2 должно быть равно 60%, чтобы дисперсия не-хеджированной операционной прибыли снизилась на 37%. А при значе</w:t>
      </w:r>
      <w:r w:rsidRPr="0066225E">
        <w:softHyphen/>
        <w:t>нии r2, равном 90%, дисперсия уменьшается примерно на 68%. Это озна</w:t>
      </w:r>
      <w:r w:rsidRPr="0066225E">
        <w:softHyphen/>
        <w:t>чает, что вне зависимости от оптимального коэффициента хеджирования само хеджирование будет эффективным только при условии очень тесной корреляции между операционной прибылью и денежной отдачей от фор</w:t>
      </w:r>
      <w:r w:rsidRPr="0066225E">
        <w:softHyphen/>
        <w:t>вардных контрактов.</w:t>
      </w:r>
      <w:proofErr w:type="gramEnd"/>
      <w:r w:rsidRPr="0066225E">
        <w:t xml:space="preserve"> На практике эффективное хеджирование сильно за</w:t>
      </w:r>
      <w:r w:rsidRPr="0066225E">
        <w:softHyphen/>
        <w:t>труднено тем, что дебиторская и кредиторская задолженность не поддается сколько-нибудь точному прогнозированию.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Даже если ваша компания неукоснительно придерживается оптималь</w:t>
      </w:r>
      <w:r w:rsidRPr="0066225E">
        <w:softHyphen/>
        <w:t>ного коэффициента хеджирования, издержки хеджирования все равно мо</w:t>
      </w:r>
      <w:r w:rsidRPr="0066225E">
        <w:softHyphen/>
        <w:t xml:space="preserve">гут перевешивать его выгоды. Взгляните, к примеру, на рисунок 17.5, г д е изображен операционный денежный поток компании, динамика которого носит характер случайного блуждания (это принято называть </w:t>
      </w:r>
      <w:proofErr w:type="spellStart"/>
      <w:r w:rsidRPr="0066225E">
        <w:t>Гауссовским</w:t>
      </w:r>
      <w:proofErr w:type="spellEnd"/>
      <w:r w:rsidRPr="0066225E">
        <w:t xml:space="preserve"> или </w:t>
      </w:r>
      <w:proofErr w:type="spellStart"/>
      <w:r w:rsidRPr="0066225E">
        <w:t>Винеровским</w:t>
      </w:r>
      <w:proofErr w:type="spellEnd"/>
      <w:r w:rsidRPr="0066225E">
        <w:t xml:space="preserve"> процессом), с началом в точке Р</w:t>
      </w:r>
      <w:proofErr w:type="gramStart"/>
      <w:r w:rsidRPr="0066225E">
        <w:t>0</w:t>
      </w:r>
      <w:proofErr w:type="gramEnd"/>
      <w:r w:rsidRPr="0066225E">
        <w:t xml:space="preserve"> и положительным</w:t>
      </w:r>
    </w:p>
    <w:p w:rsidR="0066225E" w:rsidRPr="0066225E" w:rsidRDefault="0066225E" w:rsidP="0066225E">
      <w:pPr>
        <w:spacing w:after="0" w:line="240" w:lineRule="auto"/>
        <w:jc w:val="both"/>
        <w:sectPr w:rsidR="0066225E" w:rsidRPr="0066225E" w:rsidSect="0066225E">
          <w:type w:val="continuous"/>
          <w:pgSz w:w="11179" w:h="14669"/>
          <w:pgMar w:top="1138" w:right="686" w:bottom="2016" w:left="851" w:header="720" w:footer="720" w:gutter="0"/>
          <w:cols w:space="720"/>
        </w:sectPr>
      </w:pPr>
    </w:p>
    <w:p w:rsidR="0066225E" w:rsidRPr="0066225E" w:rsidRDefault="0066225E" w:rsidP="0066225E">
      <w:pPr>
        <w:spacing w:after="0" w:line="240" w:lineRule="auto"/>
        <w:jc w:val="both"/>
      </w:pPr>
      <w:r w:rsidRPr="0066225E">
        <w:lastRenderedPageBreak/>
        <w:drawing>
          <wp:inline distT="0" distB="0" distL="0" distR="0" wp14:anchorId="28C557D0" wp14:editId="35C69996">
            <wp:extent cx="4581525" cy="2228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C40" w:rsidRDefault="00A65C40" w:rsidP="0066225E">
      <w:pPr>
        <w:spacing w:after="0" w:line="240" w:lineRule="auto"/>
        <w:jc w:val="both"/>
        <w:rPr>
          <w:lang w:val="ky-KG"/>
        </w:rPr>
      </w:pPr>
    </w:p>
    <w:p w:rsidR="0066225E" w:rsidRPr="0066225E" w:rsidRDefault="0066225E" w:rsidP="0066225E">
      <w:pPr>
        <w:spacing w:after="0" w:line="240" w:lineRule="auto"/>
        <w:jc w:val="both"/>
      </w:pPr>
      <w:r w:rsidRPr="0066225E">
        <w:t>Рисунок 17.5.    Динамика денежного потока и его низшего предела с течением времени</w:t>
      </w:r>
      <w:r w:rsidR="00A65C40">
        <w:rPr>
          <w:lang w:val="ky-KG"/>
        </w:rPr>
        <w:t xml:space="preserve"> </w:t>
      </w:r>
      <w:r w:rsidRPr="0066225E">
        <w:t>сдвигом, отражающим ожидаемый рост. Если эта кривая коснется низшего предела, представленного восходящей линией с началом в точке /г</w:t>
      </w:r>
      <w:proofErr w:type="gramStart"/>
      <w:r w:rsidRPr="0066225E">
        <w:t>0</w:t>
      </w:r>
      <w:proofErr w:type="gramEnd"/>
      <w:r w:rsidRPr="0066225E">
        <w:t>, это будет означать, что фирма несет разрушительные издержки (такие как потеря клиентов и/или талантливых менеджеров либо утрата инвестици</w:t>
      </w:r>
      <w:r w:rsidRPr="0066225E">
        <w:softHyphen/>
        <w:t>онных возможностей), а то и вовсе близка к банкротству.</w:t>
      </w:r>
    </w:p>
    <w:p w:rsidR="0066225E" w:rsidRPr="00A65C40" w:rsidRDefault="0066225E" w:rsidP="00A65C40">
      <w:pPr>
        <w:spacing w:after="0" w:line="240" w:lineRule="auto"/>
        <w:ind w:firstLine="708"/>
        <w:jc w:val="both"/>
        <w:rPr>
          <w:lang w:val="ky-KG"/>
        </w:rPr>
        <w:sectPr w:rsidR="0066225E" w:rsidRPr="00A65C40" w:rsidSect="0066225E">
          <w:pgSz w:w="9677" w:h="14640"/>
          <w:pgMar w:top="1133" w:right="1949" w:bottom="1973" w:left="851" w:header="720" w:footer="720" w:gutter="0"/>
          <w:cols w:space="720"/>
        </w:sectPr>
      </w:pPr>
      <w:r w:rsidRPr="0066225E">
        <w:t>Хеджирование оказывает двоякое влияние на операционный денежный поток. Желательный эффект заключается в уменьшении колебаний денеж</w:t>
      </w:r>
      <w:r w:rsidRPr="0066225E">
        <w:softHyphen/>
        <w:t>ного потока. Как видите, кривая, отображающая хеджированный денежный поток, отличается гораздо меньшей изменчивостью. Нежелательный эф</w:t>
      </w:r>
      <w:r w:rsidRPr="0066225E">
        <w:softHyphen/>
        <w:t xml:space="preserve">фект заключается в том, что хеджирование уменьшает угол наклона линии денежного потока. Следовательно, </w:t>
      </w:r>
      <w:proofErr w:type="spellStart"/>
      <w:r w:rsidRPr="0066225E">
        <w:t>максимизирующий</w:t>
      </w:r>
      <w:proofErr w:type="spellEnd"/>
      <w:r w:rsidRPr="0066225E">
        <w:t xml:space="preserve"> стоимость подход к хеджированию сводится к сравнительному анализу ожидаемых издержек и выгод этого процесса. В статье Т. и М. </w:t>
      </w:r>
      <w:proofErr w:type="spellStart"/>
      <w:r w:rsidRPr="0066225E">
        <w:t>Коуплендов</w:t>
      </w:r>
      <w:proofErr w:type="spellEnd"/>
      <w:r w:rsidRPr="0066225E">
        <w:t xml:space="preserve"> такой подход описан очень подробно и обстоятельно5, здесь же мы вкратце остановимся на его прикладных аспектах. Ожидаемые выгоды хеджирования представляют собой приведенную стоимость изменения вероятности пересечения низ</w:t>
      </w:r>
      <w:r w:rsidRPr="0066225E">
        <w:softHyphen/>
        <w:t>шего предела, умноженную на издержки такого пересечения (т. е. ожидае</w:t>
      </w:r>
      <w:r w:rsidRPr="0066225E">
        <w:softHyphen/>
        <w:t>мые издержки банкротства). Издержки хеджирования — это приведенная стоимость ожидаемых совокупных затрат на хеджирование от настоящего времени до ожидаемого момента пересечения низшего предела. Вероятный и даже типичный вывод, к какому приводит подобный анализ: ожидаемый момент, когда нехеджированный денежный поток упадет до низшего пре</w:t>
      </w:r>
      <w:r w:rsidRPr="0066225E">
        <w:softHyphen/>
        <w:t xml:space="preserve">дела, настолько отдален во времени, что даже при </w:t>
      </w:r>
      <w:proofErr w:type="gramStart"/>
      <w:r w:rsidRPr="0066225E">
        <w:t>небольших</w:t>
      </w:r>
      <w:proofErr w:type="gramEnd"/>
      <w:r w:rsidRPr="0066225E">
        <w:t xml:space="preserve"> ожидаемых</w:t>
      </w:r>
      <w:r w:rsidR="00A65C40">
        <w:rPr>
          <w:lang w:val="ky-KG"/>
        </w:rPr>
        <w:t xml:space="preserve"> </w:t>
      </w:r>
    </w:p>
    <w:p w:rsidR="0066225E" w:rsidRPr="0066225E" w:rsidRDefault="0066225E" w:rsidP="0066225E">
      <w:pPr>
        <w:spacing w:after="0" w:line="240" w:lineRule="auto"/>
        <w:jc w:val="both"/>
      </w:pPr>
      <w:proofErr w:type="gramStart"/>
      <w:r w:rsidRPr="0066225E">
        <w:lastRenderedPageBreak/>
        <w:t>издержках</w:t>
      </w:r>
      <w:proofErr w:type="gramEnd"/>
      <w:r w:rsidRPr="0066225E">
        <w:t xml:space="preserve"> хеджирования (скажем, 50 базовых пунктов в год) они все же перевешивают ожидаемые выгоды. Решение о том, следует ли компании прибегать к хеджированию, зависит от изменчи</w:t>
      </w:r>
      <w:r w:rsidR="00A65C40">
        <w:t>вости и темпов роста нехед</w:t>
      </w:r>
      <w:r w:rsidRPr="0066225E">
        <w:t>жированного денежного потока; исходного коэффициента покрытия про</w:t>
      </w:r>
      <w:r w:rsidRPr="0066225E">
        <w:softHyphen/>
        <w:t xml:space="preserve">цента, определяемого расстоянием между начальными точками денежного </w:t>
      </w:r>
      <w:proofErr w:type="gramStart"/>
      <w:r w:rsidRPr="0066225E">
        <w:t>п</w:t>
      </w:r>
      <w:proofErr w:type="gramEnd"/>
      <w:r w:rsidRPr="0066225E">
        <w:t xml:space="preserve"> о т о к а и низшего предела; эффективности хеджирования (насколько о н о уменьшает дисперсию); издержек банкротства; издержек хеджирования.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 xml:space="preserve">На тот случай, когда с учетом всех этих обстоятельств хеджирование признается целесообразным, Т. и М. </w:t>
      </w:r>
      <w:proofErr w:type="spellStart"/>
      <w:r w:rsidRPr="0066225E">
        <w:t>Коупленды</w:t>
      </w:r>
      <w:proofErr w:type="spellEnd"/>
      <w:r w:rsidRPr="0066225E">
        <w:t xml:space="preserve"> предлагают оптимальный коэффициент хеджирования. Он равен исходному оптимальному коэффи</w:t>
      </w:r>
      <w:r w:rsidRPr="0066225E">
        <w:softHyphen/>
        <w:t>циенту (h*), выведенному из регрессии нехеджированной операционной прибыли по денежной отдаче от форвардных контрактов, за вычетом го</w:t>
      </w:r>
      <w:r w:rsidRPr="0066225E">
        <w:softHyphen/>
        <w:t>довых издержек хеджирования (</w:t>
      </w:r>
      <w:proofErr w:type="spellStart"/>
      <w:r w:rsidRPr="0066225E">
        <w:t>μх</w:t>
      </w:r>
      <w:proofErr w:type="spellEnd"/>
      <w:r w:rsidRPr="0066225E">
        <w:t>), деленных на дисперсию стоимости форвардных контрактов (</w:t>
      </w:r>
      <w:proofErr w:type="spellStart"/>
      <w:r w:rsidRPr="0066225E">
        <w:t>σх</w:t>
      </w:r>
      <w:proofErr w:type="spellEnd"/>
      <w:r w:rsidRPr="0066225E">
        <w:t>):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drawing>
          <wp:inline distT="0" distB="0" distL="0" distR="0" wp14:anchorId="1EFECCDC" wp14:editId="3005E4B2">
            <wp:extent cx="981075" cy="419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5E" w:rsidRDefault="0066225E" w:rsidP="00A65C40">
      <w:pPr>
        <w:spacing w:after="0" w:line="240" w:lineRule="auto"/>
        <w:ind w:firstLine="708"/>
        <w:jc w:val="both"/>
        <w:rPr>
          <w:lang w:val="ky-KG"/>
        </w:rPr>
      </w:pPr>
      <w:r w:rsidRPr="0066225E">
        <w:t xml:space="preserve">Из этого </w:t>
      </w:r>
      <w:proofErr w:type="spellStart"/>
      <w:r w:rsidRPr="0066225E">
        <w:t>максимизирующего</w:t>
      </w:r>
      <w:proofErr w:type="spellEnd"/>
      <w:r w:rsidRPr="0066225E">
        <w:t xml:space="preserve"> стоимость подхода к хеджированию с л е д у </w:t>
      </w:r>
      <w:proofErr w:type="gramStart"/>
      <w:r w:rsidRPr="0066225E">
        <w:t>-е</w:t>
      </w:r>
      <w:proofErr w:type="gramEnd"/>
      <w:r w:rsidRPr="0066225E">
        <w:t xml:space="preserve"> т , что </w:t>
      </w:r>
      <w:proofErr w:type="spellStart"/>
      <w:r w:rsidRPr="0066225E">
        <w:t>высокоприбыльные</w:t>
      </w:r>
      <w:proofErr w:type="spellEnd"/>
      <w:r w:rsidRPr="0066225E">
        <w:t xml:space="preserve"> и достаточно ликвидные ф и р м ы м е н ь ш е н у ж д а -</w:t>
      </w:r>
      <w:proofErr w:type="spellStart"/>
      <w:r w:rsidRPr="0066225E">
        <w:t>ются</w:t>
      </w:r>
      <w:proofErr w:type="spellEnd"/>
      <w:r w:rsidRPr="0066225E">
        <w:t xml:space="preserve"> в хеджировании, нежели другие фирмы той же отрасли, имеющие бо</w:t>
      </w:r>
      <w:r w:rsidRPr="0066225E">
        <w:softHyphen/>
        <w:t>лее низкий коэффициент покрытия процента, более медленные темпы р о с т а операционной прибыли или более высокие издержки банкротства. О т с ю д а вывод: хеджирование — это не всегда лучший выход из положения.</w:t>
      </w:r>
    </w:p>
    <w:p w:rsidR="00A65C40" w:rsidRPr="00A65C40" w:rsidRDefault="00A65C40" w:rsidP="00A65C40">
      <w:pPr>
        <w:spacing w:after="0" w:line="240" w:lineRule="auto"/>
        <w:ind w:firstLine="708"/>
        <w:jc w:val="both"/>
        <w:rPr>
          <w:lang w:val="ky-KG"/>
        </w:rPr>
      </w:pPr>
    </w:p>
    <w:p w:rsidR="0066225E" w:rsidRPr="00A65C40" w:rsidRDefault="0066225E" w:rsidP="00A65C40">
      <w:pPr>
        <w:spacing w:after="0" w:line="240" w:lineRule="auto"/>
        <w:jc w:val="center"/>
        <w:rPr>
          <w:b/>
        </w:rPr>
      </w:pPr>
      <w:r w:rsidRPr="00A65C40">
        <w:rPr>
          <w:b/>
        </w:rPr>
        <w:t>РЕЗЮМЕ</w:t>
      </w:r>
    </w:p>
    <w:p w:rsidR="0066225E" w:rsidRPr="0066225E" w:rsidRDefault="0066225E" w:rsidP="00A65C40">
      <w:pPr>
        <w:spacing w:after="0" w:line="240" w:lineRule="auto"/>
        <w:ind w:firstLine="708"/>
        <w:jc w:val="both"/>
      </w:pPr>
      <w:r w:rsidRPr="0066225E">
        <w:t xml:space="preserve">Почти весь материал этой главы описывает процесс стоимостной оценки на условном примере британского подразделения многонациональной материнской компании, расположенной в С </w:t>
      </w:r>
      <w:proofErr w:type="gramStart"/>
      <w:r w:rsidRPr="0066225E">
        <w:t>Ш</w:t>
      </w:r>
      <w:proofErr w:type="gramEnd"/>
      <w:r w:rsidRPr="0066225E">
        <w:t xml:space="preserve"> А . Проанализировав п р е ж -де всего результаты прошлой деятельности подразделения, мы затем составили прогноз всех денежных потоков, где бы они ни возникали, в соответствующей каждому (исходной) валюте. Далее мы перевели эти денежные потоки (по годам) в фунты стерлингов — валюту британского подразделения, воспользовавшись для этой цели прогнозом будущих об</w:t>
      </w:r>
      <w:r w:rsidRPr="0066225E">
        <w:softHyphen/>
        <w:t>менных курсов «спот». После того как свободный денежный поток (все его составляющие) выражен в стерлинговом эквиваленте, он дисконтируется к приведенной стоимости по средневзвешенным затратам подразделения на капитал. И наконец, стоимость подразделения, выраженная в фунтах стерлингов, переводится в доллары по «спот</w:t>
      </w:r>
      <w:proofErr w:type="gramStart"/>
      <w:r w:rsidRPr="0066225E">
        <w:t>»-</w:t>
      </w:r>
      <w:proofErr w:type="gramEnd"/>
      <w:r w:rsidRPr="0066225E">
        <w:t>курсу.</w:t>
      </w:r>
    </w:p>
    <w:p w:rsidR="0066225E" w:rsidRPr="0066225E" w:rsidRDefault="0066225E" w:rsidP="0066225E">
      <w:pPr>
        <w:spacing w:after="0" w:line="240" w:lineRule="auto"/>
        <w:jc w:val="both"/>
      </w:pPr>
      <w:r w:rsidRPr="0066225E">
        <w:t>По ходу дела мы коснулись еще нескольких непростых вопросов: зару</w:t>
      </w:r>
      <w:r w:rsidRPr="0066225E">
        <w:softHyphen/>
        <w:t>бежных (и внутренних) бухгалтерских стандартов; проблемы трансферт</w:t>
      </w:r>
      <w:r w:rsidRPr="0066225E">
        <w:softHyphen/>
        <w:t>ного ценообразования; прогнозирования форвардных валютных курсов; стоимостного эффекта хеджирования валютных рисков.</w:t>
      </w:r>
    </w:p>
    <w:sectPr w:rsidR="0066225E" w:rsidRPr="0066225E" w:rsidSect="0066225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A1CED8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F86550A"/>
    <w:multiLevelType w:val="hybridMultilevel"/>
    <w:tmpl w:val="4316E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F6A11"/>
    <w:multiLevelType w:val="singleLevel"/>
    <w:tmpl w:val="A8241EC8"/>
    <w:lvl w:ilvl="0">
      <w:start w:val="1"/>
      <w:numFmt w:val="decimal"/>
      <w:lvlText w:val="%1)"/>
      <w:legacy w:legacy="1" w:legacySpace="0" w:legacyIndent="149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5E"/>
    <w:rsid w:val="0066225E"/>
    <w:rsid w:val="00A65C40"/>
    <w:rsid w:val="00B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6225E"/>
  </w:style>
  <w:style w:type="paragraph" w:styleId="a4">
    <w:name w:val="Balloon Text"/>
    <w:basedOn w:val="a"/>
    <w:link w:val="a5"/>
    <w:uiPriority w:val="99"/>
    <w:semiHidden/>
    <w:unhideWhenUsed/>
    <w:rsid w:val="0066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2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2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6225E"/>
  </w:style>
  <w:style w:type="paragraph" w:styleId="a4">
    <w:name w:val="Balloon Text"/>
    <w:basedOn w:val="a"/>
    <w:link w:val="a5"/>
    <w:uiPriority w:val="99"/>
    <w:semiHidden/>
    <w:unhideWhenUsed/>
    <w:rsid w:val="0066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2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2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5278</Words>
  <Characters>30086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2018-11-13T07:59:00Z</dcterms:created>
  <dcterms:modified xsi:type="dcterms:W3CDTF">2018-11-13T08:23:00Z</dcterms:modified>
</cp:coreProperties>
</file>